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B36AF5">
        <w:trPr>
          <w:trHeight w:val="579"/>
        </w:trPr>
        <w:tc>
          <w:tcPr>
            <w:tcW w:w="10299" w:type="dxa"/>
          </w:tcPr>
          <w:p w14:paraId="73D85102"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A seasoned trial attorney, Amy represents leading law firms and attorneys in the defense of professional liability claims, drawing upon her substantial  courtroom experience. Amy brings a results-oriented commitment  to every matter from day one. Her approach is pragmatic, strategic, organized and efficient. Adept at leading legal teams, she has wide-ranging experience in business litigation, professional liability defense, employment law, public records law, and complex </w:t>
            </w:r>
            <w:r w:rsidRPr="004522BD">
              <w:rPr>
                <w:rFonts w:ascii="Century Gothic Light" w:hAnsi="Century Gothic Light" w:cs="Century Gothic Light"/>
                <w:color w:val="0C2340"/>
                <w:sz w:val="22"/>
                <w:szCs w:val="22"/>
              </w:rPr>
              <w:t>e-discovery issues.</w:t>
            </w:r>
          </w:p>
          <w:p w14:paraId="4CA8B249"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p w14:paraId="7ECC7E65" w14:textId="1545FD71"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Amy is licensed to practice in Arizona, Nevada and California. She is experienced in all phases of litigation including bench and jury trials, arbitration, mediation, administrative proceedings and investigations. </w:t>
            </w:r>
            <w:r w:rsidR="0051628E">
              <w:rPr>
                <w:rFonts w:ascii="Century Gothic Light" w:hAnsi="Century Gothic Light" w:cs="Century Gothic Light"/>
                <w:color w:val="09223F"/>
                <w:sz w:val="22"/>
                <w:szCs w:val="22"/>
              </w:rPr>
              <w:t>Amy</w:t>
            </w:r>
            <w:r>
              <w:rPr>
                <w:rFonts w:ascii="Century Gothic Light" w:hAnsi="Century Gothic Light" w:cs="Century Gothic Light"/>
                <w:color w:val="09223F"/>
                <w:sz w:val="22"/>
                <w:szCs w:val="22"/>
              </w:rPr>
              <w:t xml:space="preserve"> represents businesses in complex commercial matters, and she frequently litigates covenants not to compete and other restrictive covenants, often in compressed evidentiary proceedings. She defends employers against discrimination, harassment, breach of contract, wrongful discharge and employment-related tort claims. Amy counsels employers on personnel policies, investigations, and related employment issues, including offer letters, executive employment agreements, independent contractor agreements, separation agreements, confidentiality agreements, non-competition and non-solicitation agreements.</w:t>
            </w:r>
          </w:p>
          <w:p w14:paraId="0619EDC5"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p w14:paraId="2BC34275"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Amy represents businesses in litigation arising under Arizona’s public records law. She also counsels litigants on e-discovery matters, including document management, preservation, litigation holds, document analysis and discovery of electronically stored information.</w:t>
            </w:r>
          </w:p>
          <w:p w14:paraId="7CD95C90"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p w14:paraId="39C10D41" w14:textId="77777777" w:rsidR="008700A0" w:rsidRDefault="008700A0" w:rsidP="008700A0">
            <w:r>
              <w:rPr>
                <w:rFonts w:ascii="Century Gothic Light" w:hAnsi="Century Gothic Light" w:cs="Century Gothic Light"/>
                <w:color w:val="09223F"/>
              </w:rPr>
              <w:t>Following nomination by her fellow partners, Amy served for several years on the firm’s management committee. A natural leader, she made the difficult decision to rotate off management in 2018 to more narrowly focus her talents on her first passion, serving her clients.</w:t>
            </w:r>
          </w:p>
        </w:tc>
      </w:tr>
      <w:tr w:rsidR="008700A0" w14:paraId="7B190A89" w14:textId="77777777" w:rsidTr="00B36AF5">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B36AF5">
        <w:trPr>
          <w:trHeight w:val="1455"/>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09ABA4D3" w14:textId="77777777" w:rsidR="008700A0" w:rsidRDefault="008700A0" w:rsidP="008700A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J.D., University of San Diego School of Law</w:t>
            </w:r>
          </w:p>
          <w:p w14:paraId="18DEF20B" w14:textId="77777777" w:rsidR="008700A0" w:rsidRDefault="008700A0" w:rsidP="008700A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B.S., with distinction, San Diego State University</w:t>
            </w:r>
          </w:p>
          <w:p w14:paraId="3BF85D19" w14:textId="77777777" w:rsidR="008700A0" w:rsidRDefault="008700A0" w:rsidP="008700A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Former Judicial Extern, Court of Appeals, Fourth Appellate District, State of California</w:t>
            </w:r>
          </w:p>
        </w:tc>
      </w:tr>
      <w:tr w:rsidR="00996259" w14:paraId="26225FC7" w14:textId="77777777" w:rsidTr="00B36AF5">
        <w:trPr>
          <w:trHeight w:val="1455"/>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996259" w14:paraId="2FD63DE2" w14:textId="77777777" w:rsidTr="00996259">
              <w:tc>
                <w:tcPr>
                  <w:tcW w:w="5036" w:type="dxa"/>
                </w:tcPr>
                <w:p w14:paraId="276B3A50" w14:textId="77777777" w:rsidR="00996259" w:rsidRDefault="00996259" w:rsidP="00351619">
                  <w:pPr>
                    <w:pStyle w:val="BasicParagraph"/>
                    <w:framePr w:hSpace="180" w:wrap="around" w:vAnchor="text" w:hAnchor="margin"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14:paraId="57A8CBAE" w14:textId="77777777" w:rsidR="00996259" w:rsidRDefault="00996259" w:rsidP="00351619">
                  <w:pPr>
                    <w:pStyle w:val="BasicParagraph"/>
                    <w:framePr w:hSpace="180" w:wrap="around" w:vAnchor="text" w:hAnchor="margin"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Torts</w:t>
                  </w:r>
                </w:p>
                <w:p w14:paraId="019AAA08" w14:textId="77777777" w:rsidR="00996259" w:rsidRDefault="00996259" w:rsidP="00351619">
                  <w:pPr>
                    <w:pStyle w:val="BasicParagraph"/>
                    <w:framePr w:hSpace="180" w:wrap="around" w:vAnchor="text" w:hAnchor="margin"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14:paraId="2579A3E3" w14:textId="77777777" w:rsidR="00996259" w:rsidRDefault="00996259" w:rsidP="00351619">
                  <w:pPr>
                    <w:pStyle w:val="BasicParagraph"/>
                    <w:framePr w:hSpace="180" w:wrap="around" w:vAnchor="text" w:hAnchor="margin"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E-Discovery and Data Management</w:t>
                  </w:r>
                </w:p>
                <w:p w14:paraId="46911109" w14:textId="77777777" w:rsidR="00996259" w:rsidRPr="00996259" w:rsidRDefault="00996259" w:rsidP="00351619">
                  <w:pPr>
                    <w:pStyle w:val="BasicParagraph"/>
                    <w:framePr w:hSpace="180" w:wrap="around" w:vAnchor="text" w:hAnchor="margin"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Employment and Labor</w:t>
                  </w:r>
                </w:p>
              </w:tc>
              <w:tc>
                <w:tcPr>
                  <w:tcW w:w="5037" w:type="dxa"/>
                </w:tcPr>
                <w:p w14:paraId="464755E1" w14:textId="77777777" w:rsidR="00996259" w:rsidRDefault="00996259" w:rsidP="00351619">
                  <w:pPr>
                    <w:pStyle w:val="BasicParagraph"/>
                    <w:framePr w:hSpace="180" w:wrap="around" w:vAnchor="text" w:hAnchor="margin" w:xAlign="right" w:y="3856"/>
                    <w:numPr>
                      <w:ilvl w:val="0"/>
                      <w:numId w:val="1"/>
                    </w:numPr>
                    <w:suppressAutoHyphens/>
                    <w:spacing w:line="240" w:lineRule="auto"/>
                    <w:ind w:left="510"/>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14:paraId="39B68589" w14:textId="77777777" w:rsidR="00996259" w:rsidRDefault="00996259" w:rsidP="00351619">
                  <w:pPr>
                    <w:pStyle w:val="BasicParagraph"/>
                    <w:framePr w:hSpace="180" w:wrap="around" w:vAnchor="text" w:hAnchor="margin" w:xAlign="right" w:y="3856"/>
                    <w:numPr>
                      <w:ilvl w:val="0"/>
                      <w:numId w:val="1"/>
                    </w:numPr>
                    <w:suppressAutoHyphens/>
                    <w:spacing w:line="240" w:lineRule="auto"/>
                    <w:ind w:left="510"/>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Professional Liability</w:t>
                  </w:r>
                </w:p>
                <w:p w14:paraId="2A2DA8B8" w14:textId="77777777" w:rsidR="00996259" w:rsidRDefault="00996259" w:rsidP="00351619">
                  <w:pPr>
                    <w:pStyle w:val="BasicParagraph"/>
                    <w:framePr w:hSpace="180" w:wrap="around" w:vAnchor="text" w:hAnchor="margin" w:xAlign="right" w:y="3856"/>
                    <w:numPr>
                      <w:ilvl w:val="0"/>
                      <w:numId w:val="1"/>
                    </w:numPr>
                    <w:suppressAutoHyphens/>
                    <w:spacing w:line="240" w:lineRule="auto"/>
                    <w:ind w:left="510"/>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Public Records Law</w:t>
                  </w:r>
                </w:p>
                <w:p w14:paraId="22A85BCB" w14:textId="27B57168" w:rsidR="00996259" w:rsidRPr="00EE7F20" w:rsidRDefault="00996259" w:rsidP="00351619">
                  <w:pPr>
                    <w:pStyle w:val="BasicParagraph"/>
                    <w:framePr w:hSpace="180" w:wrap="around" w:vAnchor="text" w:hAnchor="margin" w:xAlign="right" w:y="3856"/>
                    <w:numPr>
                      <w:ilvl w:val="0"/>
                      <w:numId w:val="1"/>
                    </w:numPr>
                    <w:suppressAutoHyphens/>
                    <w:spacing w:line="240" w:lineRule="auto"/>
                    <w:ind w:left="510"/>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Tort and Insurance Litigation</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996259" w14:paraId="7FB8CE59" w14:textId="77777777" w:rsidTr="00B36AF5">
        <w:trPr>
          <w:trHeight w:val="288"/>
        </w:trPr>
        <w:tc>
          <w:tcPr>
            <w:tcW w:w="10299" w:type="dxa"/>
          </w:tcPr>
          <w:p w14:paraId="0FC12518" w14:textId="77777777" w:rsidR="00996259" w:rsidRPr="00A44AD9" w:rsidRDefault="00996259" w:rsidP="00996259">
            <w:pPr>
              <w:pStyle w:val="BasicParagraph"/>
              <w:rPr>
                <w:rFonts w:ascii="Century Gothic Light" w:hAnsi="Century Gothic Light" w:cs="Century Gothic Light"/>
                <w:caps/>
                <w:color w:val="F5821F"/>
                <w:szCs w:val="32"/>
              </w:rPr>
            </w:pPr>
          </w:p>
        </w:tc>
      </w:tr>
      <w:tr w:rsidR="00996259" w14:paraId="420B9392" w14:textId="77777777" w:rsidTr="00B36AF5">
        <w:trPr>
          <w:trHeight w:val="576"/>
        </w:trPr>
        <w:tc>
          <w:tcPr>
            <w:tcW w:w="10299" w:type="dxa"/>
          </w:tcPr>
          <w:p w14:paraId="6FD13B38"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Representative cases</w:t>
            </w:r>
          </w:p>
          <w:p w14:paraId="48D9BC2B"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defense verdict on legal malpractice claims, and a seven-figure award of attorneys’ fees on a counterclaim, following a 12-day jury trial (Maricopa County Superior Court).</w:t>
            </w:r>
          </w:p>
          <w:p w14:paraId="64149BF4"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judgment in favor of private entity prohibiting production of records under Arizona’s public records laws.</w:t>
            </w:r>
          </w:p>
          <w:p w14:paraId="05AFD3C9"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Published Opinions: </w:t>
            </w:r>
            <w:r w:rsidRPr="0051628E">
              <w:rPr>
                <w:rFonts w:ascii="Century Gothic Light" w:hAnsi="Century Gothic Light" w:cs="Century Gothic Light"/>
                <w:i/>
                <w:iCs/>
                <w:color w:val="09223F"/>
                <w:sz w:val="22"/>
                <w:szCs w:val="22"/>
              </w:rPr>
              <w:t>Malcolm v. Farmers New World Life Insurance Company</w:t>
            </w:r>
            <w:r>
              <w:rPr>
                <w:rFonts w:ascii="Century Gothic Light" w:hAnsi="Century Gothic Light" w:cs="Century Gothic Light"/>
                <w:color w:val="09223F"/>
                <w:sz w:val="22"/>
                <w:szCs w:val="22"/>
              </w:rPr>
              <w:t xml:space="preserve"> (1992) 4 Cal. App. 4th 296 (life insurance case) and </w:t>
            </w:r>
            <w:r w:rsidRPr="0051628E">
              <w:rPr>
                <w:rFonts w:ascii="Century Gothic Light" w:hAnsi="Century Gothic Light" w:cs="Century Gothic Light"/>
                <w:i/>
                <w:iCs/>
                <w:color w:val="09223F"/>
                <w:sz w:val="22"/>
                <w:szCs w:val="22"/>
              </w:rPr>
              <w:t>Smith v. Superior Court</w:t>
            </w:r>
            <w:r>
              <w:rPr>
                <w:rFonts w:ascii="Century Gothic Light" w:hAnsi="Century Gothic Light" w:cs="Century Gothic Light"/>
                <w:color w:val="09223F"/>
                <w:sz w:val="22"/>
                <w:szCs w:val="22"/>
              </w:rPr>
              <w:t xml:space="preserve"> (1993) 10 Cal. App. 4th 1033 (legal malpractice).</w:t>
            </w:r>
          </w:p>
          <w:p w14:paraId="455C67F6"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Bench trial to enforce restrictive covenants, settled mid-trial, for over $2.5 million in favor of client (U.S. District Court - Nevada).</w:t>
            </w:r>
          </w:p>
          <w:p w14:paraId="050D2D13"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Two-week jury trial on claims for sexual harassment, discrimination, wrongful termination, retaliation and interference with contract (U.S. District Court - Tucson) - defense verdict.</w:t>
            </w:r>
          </w:p>
          <w:p w14:paraId="6586EA2C"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One-week jury trial on harassment and discrimination claims (U.S. District Court - Nevada) - defense verdict.</w:t>
            </w:r>
          </w:p>
          <w:p w14:paraId="03D283A3"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One-week jury trial on pregnancy discrimination and wrongful termination claims (U.S. District Court - Phoenix) - defense verdict.</w:t>
            </w:r>
          </w:p>
          <w:p w14:paraId="3E10BC09"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Non-suit of harassment, discrimination and retaliation claims (U.S. District Court - Nevada).</w:t>
            </w:r>
          </w:p>
          <w:p w14:paraId="230A8B79"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temporary restraining order and preliminary injunction against departing employee and competitor (U.S. District Court - Central District of California, Southern Division).</w:t>
            </w:r>
          </w:p>
          <w:p w14:paraId="66957181"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preliminary and permanent injunction against departing employee and competitor (U.S. District Court - Nevada).</w:t>
            </w:r>
          </w:p>
          <w:p w14:paraId="0E3045D2"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Dissolved temporary restraining order and defeated motion for preliminary injunction sought against departing employee (Maricopa County Superior Court).</w:t>
            </w:r>
          </w:p>
          <w:p w14:paraId="6CF3489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Various summary judgments on employment-related and other claims.</w:t>
            </w:r>
          </w:p>
          <w:p w14:paraId="4C352871"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Numerous restraining orders and injunctions secured to enforce restrictive covenants.</w:t>
            </w:r>
          </w:p>
          <w:p w14:paraId="2E5D517E"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Numerous no-cause findings on charges filed with EEOC, ACRD, NERC and NMHRD.</w:t>
            </w:r>
          </w:p>
          <w:p w14:paraId="4D0C0B77"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Bench trial for plaintiff to enforce commercial contract (U.S. District Court – Central District of California, Southern Division) – judgment for plaintiff in excess of $1,000,000.</w:t>
            </w:r>
          </w:p>
          <w:p w14:paraId="6220B303" w14:textId="77777777" w:rsidR="00996259" w:rsidRP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One-week jury trial for plaintiff in equine litigation against an insurance company and insurance broker (U.S. District Court - Central District of California) - plaintiff’s verdict.</w:t>
            </w:r>
          </w:p>
          <w:p w14:paraId="1B8071AE" w14:textId="1342F5F5"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dismissal of defamation action against dentists and professional organization (District Court - Nevada).</w:t>
            </w:r>
          </w:p>
          <w:p w14:paraId="2995CFCB"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Secured summary judgments for national life insurance companies on disability/ERISA claims (U.S. District Court - Nevada).</w:t>
            </w:r>
          </w:p>
          <w:p w14:paraId="73515F55"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Trial-styled arbitration - defense on defamation and slander claims (Ventura County Superior Court).</w:t>
            </w:r>
          </w:p>
          <w:p w14:paraId="13C32FC0" w14:textId="77777777" w:rsidR="00996259" w:rsidRP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color w:val="09223F"/>
                <w:sz w:val="22"/>
                <w:szCs w:val="22"/>
              </w:rPr>
              <w:t>Summary Judgment on abuse of process and malicious prosecution claims (Pima County Superior Court).</w:t>
            </w:r>
          </w:p>
        </w:tc>
      </w:tr>
      <w:tr w:rsidR="00996259" w14:paraId="2FA701B3" w14:textId="77777777" w:rsidTr="00B36AF5">
        <w:trPr>
          <w:trHeight w:val="288"/>
        </w:trPr>
        <w:tc>
          <w:tcPr>
            <w:tcW w:w="10299" w:type="dxa"/>
          </w:tcPr>
          <w:p w14:paraId="51291211" w14:textId="77777777" w:rsidR="00996259" w:rsidRPr="00A44AD9" w:rsidRDefault="00996259" w:rsidP="00996259">
            <w:pPr>
              <w:pStyle w:val="BasicParagraph"/>
              <w:rPr>
                <w:rFonts w:ascii="Century Gothic Light" w:hAnsi="Century Gothic Light" w:cs="Century Gothic Light"/>
                <w:caps/>
                <w:color w:val="F5821F"/>
                <w:szCs w:val="32"/>
              </w:rPr>
            </w:pPr>
          </w:p>
        </w:tc>
      </w:tr>
      <w:tr w:rsidR="00996259" w14:paraId="62F1E621" w14:textId="77777777" w:rsidTr="00B36AF5">
        <w:trPr>
          <w:trHeight w:val="576"/>
        </w:trPr>
        <w:tc>
          <w:tcPr>
            <w:tcW w:w="10299" w:type="dxa"/>
          </w:tcPr>
          <w:p w14:paraId="34F8FC9B"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awards and honors</w:t>
            </w:r>
          </w:p>
          <w:p w14:paraId="1ECCEA38" w14:textId="6E04CC37" w:rsidR="004F76C4" w:rsidRPr="004F76C4" w:rsidRDefault="004F76C4" w:rsidP="004F76C4">
            <w:pPr>
              <w:pStyle w:val="ListParagraph"/>
              <w:numPr>
                <w:ilvl w:val="0"/>
                <w:numId w:val="1"/>
              </w:numPr>
              <w:rPr>
                <w:rFonts w:ascii="Century Gothic Light" w:hAnsi="Century Gothic Light" w:cs="Century Gothic Light"/>
                <w:iCs/>
                <w:color w:val="09223F"/>
              </w:rPr>
            </w:pPr>
            <w:r w:rsidRPr="00EF4A1F">
              <w:rPr>
                <w:rFonts w:ascii="Century Gothic Light" w:hAnsi="Century Gothic Light" w:cs="Century Gothic Light"/>
                <w:iCs/>
                <w:color w:val="09223F"/>
              </w:rPr>
              <w:t xml:space="preserve">Top 100 Lawyers, </w:t>
            </w:r>
            <w:r w:rsidRPr="00EF4A1F">
              <w:rPr>
                <w:rFonts w:ascii="Century Gothic Light" w:hAnsi="Century Gothic Light" w:cs="Century Gothic Light"/>
                <w:i/>
                <w:color w:val="09223F"/>
              </w:rPr>
              <w:t>AZ B</w:t>
            </w:r>
            <w:r w:rsidR="00351619">
              <w:rPr>
                <w:rFonts w:ascii="Century Gothic Light" w:hAnsi="Century Gothic Light" w:cs="Century Gothic Light"/>
                <w:i/>
                <w:color w:val="09223F"/>
              </w:rPr>
              <w:t>ig Media</w:t>
            </w:r>
            <w:r w:rsidRPr="00EF4A1F">
              <w:rPr>
                <w:rFonts w:ascii="Century Gothic Light" w:hAnsi="Century Gothic Light" w:cs="Century Gothic Light"/>
                <w:i/>
                <w:color w:val="09223F"/>
              </w:rPr>
              <w:t>,</w:t>
            </w:r>
            <w:r w:rsidRPr="00EF4A1F">
              <w:rPr>
                <w:rFonts w:ascii="Century Gothic Light" w:hAnsi="Century Gothic Light" w:cs="Century Gothic Light"/>
                <w:iCs/>
                <w:color w:val="09223F"/>
              </w:rPr>
              <w:t xml:space="preserve"> </w:t>
            </w:r>
            <w:r>
              <w:rPr>
                <w:rFonts w:ascii="Century Gothic Light" w:hAnsi="Century Gothic Light" w:cs="Century Gothic Light"/>
                <w:iCs/>
                <w:color w:val="09223F"/>
              </w:rPr>
              <w:t>2022</w:t>
            </w:r>
          </w:p>
          <w:p w14:paraId="3A356C55" w14:textId="0215F10B" w:rsidR="00F47C3F" w:rsidRDefault="00F47C3F" w:rsidP="00F47C3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i/>
                <w:color w:val="09223F"/>
                <w:sz w:val="22"/>
                <w:szCs w:val="22"/>
              </w:rPr>
              <w:t>Chambers USA,</w:t>
            </w:r>
            <w:r>
              <w:rPr>
                <w:rFonts w:ascii="Century Gothic Light" w:hAnsi="Century Gothic Light" w:cs="Century Gothic Light"/>
                <w:color w:val="09223F"/>
                <w:sz w:val="22"/>
                <w:szCs w:val="22"/>
              </w:rPr>
              <w:t xml:space="preserve"> Leading Lawyers for Business, 2020-2021</w:t>
            </w:r>
          </w:p>
          <w:p w14:paraId="36BAE8BF" w14:textId="77777777" w:rsidR="00985545" w:rsidRDefault="00985545" w:rsidP="0098554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i/>
                <w:color w:val="09223F"/>
                <w:sz w:val="22"/>
                <w:szCs w:val="22"/>
              </w:rPr>
              <w:t>Southwest Super Lawyers</w:t>
            </w:r>
            <w:r w:rsidRPr="00996259">
              <w:rPr>
                <w:rFonts w:ascii="Century Gothic Light" w:hAnsi="Century Gothic Light" w:cs="Century Gothic Light"/>
                <w:color w:val="09223F"/>
                <w:sz w:val="22"/>
                <w:szCs w:val="22"/>
                <w:vertAlign w:val="superscript"/>
              </w:rPr>
              <w:t>®</w:t>
            </w:r>
            <w:r w:rsidRPr="00996259">
              <w:rPr>
                <w:rFonts w:ascii="Century Gothic Light" w:hAnsi="Century Gothic Light" w:cs="Century Gothic Light"/>
                <w:i/>
                <w:color w:val="09223F"/>
                <w:sz w:val="22"/>
                <w:szCs w:val="22"/>
              </w:rPr>
              <w:t>,</w:t>
            </w:r>
            <w:r>
              <w:rPr>
                <w:rFonts w:ascii="Century Gothic Light" w:hAnsi="Century Gothic Light" w:cs="Century Gothic Light"/>
                <w:color w:val="09223F"/>
                <w:sz w:val="22"/>
                <w:szCs w:val="22"/>
              </w:rPr>
              <w:t xml:space="preserve"> Top 25 Women in Arizona, 2020-2021</w:t>
            </w:r>
          </w:p>
          <w:p w14:paraId="5C70D7F9" w14:textId="77777777" w:rsidR="006A4557" w:rsidRDefault="006A4557" w:rsidP="006A455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i/>
                <w:color w:val="09223F"/>
                <w:sz w:val="22"/>
                <w:szCs w:val="22"/>
              </w:rPr>
              <w:t>Southwest Super Lawyers</w:t>
            </w:r>
            <w:r w:rsidRPr="00996259">
              <w:rPr>
                <w:rFonts w:ascii="Century Gothic Light" w:hAnsi="Century Gothic Light" w:cs="Century Gothic Light"/>
                <w:color w:val="09223F"/>
                <w:sz w:val="22"/>
                <w:szCs w:val="22"/>
                <w:vertAlign w:val="superscript"/>
              </w:rPr>
              <w:t>®</w:t>
            </w:r>
            <w:r w:rsidRPr="00996259">
              <w:rPr>
                <w:rFonts w:ascii="Century Gothic Light" w:hAnsi="Century Gothic Light" w:cs="Century Gothic Light"/>
                <w:i/>
                <w:color w:val="09223F"/>
                <w:sz w:val="22"/>
                <w:szCs w:val="22"/>
              </w:rPr>
              <w:t>,</w:t>
            </w:r>
            <w:r>
              <w:rPr>
                <w:rFonts w:ascii="Century Gothic Light" w:hAnsi="Century Gothic Light" w:cs="Century Gothic Light"/>
                <w:color w:val="09223F"/>
                <w:sz w:val="22"/>
                <w:szCs w:val="22"/>
              </w:rPr>
              <w:t xml:space="preserve"> Business Litigation, 2017-2021</w:t>
            </w:r>
          </w:p>
          <w:p w14:paraId="3AFD6FE3" w14:textId="180E1621" w:rsidR="001C114D" w:rsidRPr="00351619" w:rsidRDefault="001C114D" w:rsidP="001C114D">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1C114D">
              <w:rPr>
                <w:rFonts w:ascii="Century Gothic Light" w:hAnsi="Century Gothic Light" w:cs="Century Gothic Light"/>
                <w:i/>
                <w:color w:val="09223F"/>
                <w:sz w:val="22"/>
                <w:szCs w:val="22"/>
              </w:rPr>
              <w:t>Best Lawyers in America</w:t>
            </w:r>
            <w:r w:rsidRPr="001C114D">
              <w:rPr>
                <w:rFonts w:ascii="Century Gothic Light" w:hAnsi="Century Gothic Light" w:cs="Century Gothic Light"/>
                <w:i/>
                <w:color w:val="09223F"/>
                <w:sz w:val="22"/>
                <w:szCs w:val="22"/>
                <w:vertAlign w:val="superscript"/>
              </w:rPr>
              <w:t>®</w:t>
            </w:r>
            <w:r w:rsidRPr="001C114D">
              <w:rPr>
                <w:rFonts w:ascii="Century Gothic Light" w:hAnsi="Century Gothic Light" w:cs="Century Gothic Light"/>
                <w:i/>
                <w:color w:val="09223F"/>
                <w:sz w:val="22"/>
                <w:szCs w:val="22"/>
              </w:rPr>
              <w:t xml:space="preserve">, </w:t>
            </w:r>
            <w:r w:rsidRPr="001C114D">
              <w:rPr>
                <w:rFonts w:ascii="Century Gothic Light" w:hAnsi="Century Gothic Light" w:cs="Century Gothic Light"/>
                <w:iCs/>
                <w:color w:val="09223F"/>
                <w:sz w:val="22"/>
                <w:szCs w:val="22"/>
              </w:rPr>
              <w:t xml:space="preserve">Commercial Litigation, </w:t>
            </w:r>
            <w:r w:rsidR="00B90C7E">
              <w:rPr>
                <w:rFonts w:ascii="Century Gothic Light" w:hAnsi="Century Gothic Light" w:cs="Century Gothic Light"/>
                <w:iCs/>
                <w:color w:val="09223F"/>
                <w:sz w:val="22"/>
                <w:szCs w:val="22"/>
              </w:rPr>
              <w:t xml:space="preserve">Employment Law Management, </w:t>
            </w:r>
            <w:r w:rsidR="00926E51">
              <w:rPr>
                <w:rFonts w:ascii="Century Gothic Light" w:hAnsi="Century Gothic Light" w:cs="Century Gothic Light"/>
                <w:iCs/>
                <w:color w:val="09223F"/>
                <w:sz w:val="22"/>
                <w:szCs w:val="22"/>
              </w:rPr>
              <w:t xml:space="preserve">Legal Malpractice Law – Defendants, </w:t>
            </w:r>
            <w:r w:rsidR="00B90C7E">
              <w:rPr>
                <w:rFonts w:ascii="Century Gothic Light" w:hAnsi="Century Gothic Light" w:cs="Century Gothic Light"/>
                <w:iCs/>
                <w:color w:val="09223F"/>
                <w:sz w:val="22"/>
                <w:szCs w:val="22"/>
              </w:rPr>
              <w:t xml:space="preserve">Litigation – Labor and Employment, </w:t>
            </w:r>
            <w:r w:rsidRPr="001C114D">
              <w:rPr>
                <w:rFonts w:ascii="Century Gothic Light" w:hAnsi="Century Gothic Light" w:cs="Century Gothic Light"/>
                <w:iCs/>
                <w:color w:val="09223F"/>
                <w:sz w:val="22"/>
                <w:szCs w:val="22"/>
              </w:rPr>
              <w:t xml:space="preserve">Professional Malpractice Law - Defendants, </w:t>
            </w:r>
            <w:r w:rsidR="00B90C7E">
              <w:rPr>
                <w:rFonts w:ascii="Century Gothic Light" w:hAnsi="Century Gothic Light" w:cs="Century Gothic Light"/>
                <w:iCs/>
                <w:color w:val="09223F"/>
                <w:sz w:val="22"/>
                <w:szCs w:val="22"/>
              </w:rPr>
              <w:t>2014-</w:t>
            </w:r>
            <w:r w:rsidRPr="001C114D">
              <w:rPr>
                <w:rFonts w:ascii="Century Gothic Light" w:hAnsi="Century Gothic Light" w:cs="Century Gothic Light"/>
                <w:iCs/>
                <w:color w:val="09223F"/>
                <w:sz w:val="22"/>
                <w:szCs w:val="22"/>
              </w:rPr>
              <w:t>202</w:t>
            </w:r>
            <w:r w:rsidR="00926E51">
              <w:rPr>
                <w:rFonts w:ascii="Century Gothic Light" w:hAnsi="Century Gothic Light" w:cs="Century Gothic Light"/>
                <w:iCs/>
                <w:color w:val="09223F"/>
                <w:sz w:val="22"/>
                <w:szCs w:val="22"/>
              </w:rPr>
              <w:t>2</w:t>
            </w:r>
          </w:p>
          <w:p w14:paraId="6F73AE53" w14:textId="00771E56" w:rsidR="00351619" w:rsidRPr="00EF4A1F" w:rsidRDefault="00351619" w:rsidP="001C114D">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EF4A1F">
              <w:rPr>
                <w:rFonts w:ascii="Century Gothic Light" w:hAnsi="Century Gothic Light" w:cs="Century Gothic Light"/>
                <w:iCs/>
                <w:color w:val="09223F"/>
              </w:rPr>
              <w:t xml:space="preserve">Top 100 Lawyers, </w:t>
            </w:r>
            <w:r w:rsidRPr="00EF4A1F">
              <w:rPr>
                <w:rFonts w:ascii="Century Gothic Light" w:hAnsi="Century Gothic Light" w:cs="Century Gothic Light"/>
                <w:i/>
                <w:color w:val="09223F"/>
              </w:rPr>
              <w:t>AZ Business Magazine,</w:t>
            </w:r>
            <w:r w:rsidRPr="00EF4A1F">
              <w:rPr>
                <w:rFonts w:ascii="Century Gothic Light" w:hAnsi="Century Gothic Light" w:cs="Century Gothic Light"/>
                <w:iCs/>
                <w:color w:val="09223F"/>
              </w:rPr>
              <w:t xml:space="preserve"> 2020</w:t>
            </w:r>
          </w:p>
          <w:p w14:paraId="4F58DD16"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i/>
                <w:color w:val="09223F"/>
                <w:sz w:val="22"/>
                <w:szCs w:val="22"/>
              </w:rPr>
              <w:t>Benchmark Litigation,</w:t>
            </w:r>
            <w:r>
              <w:rPr>
                <w:rFonts w:ascii="Century Gothic Light" w:hAnsi="Century Gothic Light" w:cs="Century Gothic Light"/>
                <w:color w:val="09223F"/>
                <w:sz w:val="22"/>
                <w:szCs w:val="22"/>
              </w:rPr>
              <w:t xml:space="preserve"> Local Litigation Star, 2016-2019</w:t>
            </w:r>
          </w:p>
          <w:p w14:paraId="1F2683A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Selected, “Most Influential Women in Arizona Business,” </w:t>
            </w:r>
            <w:r w:rsidRPr="00996259">
              <w:rPr>
                <w:rFonts w:ascii="Century Gothic Light" w:hAnsi="Century Gothic Light" w:cs="Century Gothic Light"/>
                <w:i/>
                <w:color w:val="09223F"/>
                <w:sz w:val="22"/>
                <w:szCs w:val="22"/>
              </w:rPr>
              <w:t>AZ Business Magazine</w:t>
            </w:r>
            <w:r w:rsidRPr="00996259">
              <w:rPr>
                <w:rFonts w:ascii="Century Gothic Light" w:hAnsi="Century Gothic Light" w:cs="Century Gothic Light"/>
                <w:color w:val="09223F"/>
                <w:sz w:val="22"/>
                <w:szCs w:val="22"/>
              </w:rPr>
              <w:t>,</w:t>
            </w:r>
            <w:r>
              <w:rPr>
                <w:rFonts w:ascii="Century Gothic Light" w:hAnsi="Century Gothic Light" w:cs="Century Gothic Light"/>
                <w:color w:val="09223F"/>
                <w:sz w:val="22"/>
                <w:szCs w:val="22"/>
              </w:rPr>
              <w:t xml:space="preserve"> 2015</w:t>
            </w:r>
          </w:p>
          <w:p w14:paraId="2395CF1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proofErr w:type="spellStart"/>
            <w:r>
              <w:rPr>
                <w:rFonts w:ascii="Century Gothic Light" w:hAnsi="Century Gothic Light" w:cs="Century Gothic Light"/>
                <w:color w:val="09223F"/>
                <w:sz w:val="22"/>
                <w:szCs w:val="22"/>
              </w:rPr>
              <w:t>bizAZ’s</w:t>
            </w:r>
            <w:proofErr w:type="spellEnd"/>
            <w:r>
              <w:rPr>
                <w:rFonts w:ascii="Century Gothic Light" w:hAnsi="Century Gothic Light" w:cs="Century Gothic Light"/>
                <w:color w:val="09223F"/>
                <w:sz w:val="22"/>
                <w:szCs w:val="22"/>
              </w:rPr>
              <w:t>, “Up-And-Coming-Attorneys,” 2005</w:t>
            </w:r>
          </w:p>
          <w:p w14:paraId="4536D0B7" w14:textId="77777777" w:rsidR="00996259" w:rsidRP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color w:val="09223F"/>
                <w:sz w:val="22"/>
                <w:szCs w:val="22"/>
              </w:rPr>
              <w:t>AV</w:t>
            </w:r>
            <w:r w:rsidRPr="00996259">
              <w:rPr>
                <w:rFonts w:ascii="Century Gothic Light" w:hAnsi="Century Gothic Light" w:cs="Century Gothic Light"/>
                <w:color w:val="09223F"/>
                <w:sz w:val="22"/>
                <w:szCs w:val="22"/>
                <w:vertAlign w:val="superscript"/>
              </w:rPr>
              <w:t>®</w:t>
            </w:r>
            <w:r w:rsidRPr="00996259">
              <w:rPr>
                <w:rFonts w:ascii="Century Gothic Light" w:hAnsi="Century Gothic Light" w:cs="Century Gothic Light"/>
                <w:color w:val="09223F"/>
                <w:sz w:val="22"/>
                <w:szCs w:val="22"/>
              </w:rPr>
              <w:t xml:space="preserve"> Preeminent™ Peer Review Rated (the highest rating available), by Martindale-Hubbell</w:t>
            </w:r>
          </w:p>
        </w:tc>
      </w:tr>
      <w:tr w:rsidR="00996259" w14:paraId="7627A42F" w14:textId="77777777" w:rsidTr="00B36AF5">
        <w:trPr>
          <w:trHeight w:val="144"/>
        </w:trPr>
        <w:tc>
          <w:tcPr>
            <w:tcW w:w="10299" w:type="dxa"/>
          </w:tcPr>
          <w:p w14:paraId="75165E2C" w14:textId="77777777" w:rsidR="00996259" w:rsidRPr="00A44AD9" w:rsidRDefault="00996259" w:rsidP="00996259">
            <w:pPr>
              <w:pStyle w:val="BasicParagraph"/>
              <w:rPr>
                <w:rFonts w:ascii="Century Gothic Light" w:hAnsi="Century Gothic Light" w:cs="Century Gothic Light"/>
                <w:caps/>
                <w:color w:val="F5821F"/>
                <w:szCs w:val="32"/>
              </w:rPr>
            </w:pPr>
          </w:p>
        </w:tc>
      </w:tr>
      <w:tr w:rsidR="00996259" w14:paraId="648E60BC" w14:textId="77777777" w:rsidTr="00B36AF5">
        <w:trPr>
          <w:trHeight w:val="576"/>
        </w:trPr>
        <w:tc>
          <w:tcPr>
            <w:tcW w:w="10299" w:type="dxa"/>
          </w:tcPr>
          <w:p w14:paraId="4E3DCFD2" w14:textId="415EFEB3" w:rsidR="009268E5"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articles and presentations</w:t>
            </w:r>
          </w:p>
          <w:p w14:paraId="745DE633" w14:textId="2DE0A692" w:rsidR="009268E5" w:rsidRPr="009268E5" w:rsidRDefault="009268E5" w:rsidP="009268E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w:t>
            </w:r>
            <w:r w:rsidRPr="00E50DE2">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“Determine What is Important to You and Fully Commit to Making it a Priority</w:t>
            </w:r>
            <w:r w:rsidRPr="00E50DE2">
              <w:rPr>
                <w:rFonts w:ascii="Century Gothic Light" w:hAnsi="Century Gothic Light" w:cs="Century Gothic Light"/>
                <w:color w:val="09223F"/>
                <w:sz w:val="22"/>
                <w:szCs w:val="22"/>
              </w:rPr>
              <w:t xml:space="preserve">," Fennemore Blog, </w:t>
            </w:r>
            <w:r>
              <w:rPr>
                <w:rFonts w:ascii="Century Gothic Light" w:hAnsi="Century Gothic Light" w:cs="Century Gothic Light"/>
                <w:color w:val="09223F"/>
                <w:sz w:val="22"/>
                <w:szCs w:val="22"/>
              </w:rPr>
              <w:t>August 19</w:t>
            </w:r>
            <w:r w:rsidRPr="00E50DE2">
              <w:rPr>
                <w:rFonts w:ascii="Century Gothic Light" w:hAnsi="Century Gothic Light" w:cs="Century Gothic Light"/>
                <w:color w:val="09223F"/>
                <w:sz w:val="22"/>
                <w:szCs w:val="22"/>
              </w:rPr>
              <w:t>, 2021</w:t>
            </w:r>
          </w:p>
          <w:p w14:paraId="6CCF1892" w14:textId="77777777" w:rsidR="00E50DE2" w:rsidRDefault="00E50DE2"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0DE2">
              <w:rPr>
                <w:rFonts w:ascii="Century Gothic Light" w:hAnsi="Century Gothic Light" w:cs="Century Gothic Light"/>
                <w:color w:val="09223F"/>
                <w:sz w:val="22"/>
                <w:szCs w:val="22"/>
              </w:rPr>
              <w:t>Quoted, "Let's Celebrate Random Acts of Kindness Day," Fennemore Blog, February 18, 2021</w:t>
            </w:r>
          </w:p>
          <w:p w14:paraId="09835854" w14:textId="117FBF00" w:rsidR="00FB783C" w:rsidRPr="00FB783C" w:rsidRDefault="00FB783C"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B783C">
              <w:rPr>
                <w:rFonts w:ascii="Century Gothic Light" w:hAnsi="Century Gothic Light" w:cs="Century Gothic Light"/>
                <w:color w:val="09223F"/>
                <w:sz w:val="22"/>
                <w:szCs w:val="22"/>
              </w:rPr>
              <w:t xml:space="preserve">Quoted, "e-Discovery Process Impacted by Covid-19 Crisis?" </w:t>
            </w:r>
            <w:r w:rsidRPr="00FB783C">
              <w:rPr>
                <w:rFonts w:ascii="Century Gothic Light" w:hAnsi="Century Gothic Light" w:cs="Century Gothic Light"/>
                <w:i/>
                <w:iCs/>
                <w:color w:val="09223F"/>
                <w:sz w:val="22"/>
                <w:szCs w:val="22"/>
              </w:rPr>
              <w:t>Legal Reader,</w:t>
            </w:r>
            <w:r w:rsidRPr="00FB783C">
              <w:rPr>
                <w:rFonts w:ascii="Century Gothic Light" w:hAnsi="Century Gothic Light" w:cs="Century Gothic Light"/>
                <w:color w:val="09223F"/>
                <w:sz w:val="22"/>
                <w:szCs w:val="22"/>
              </w:rPr>
              <w:t xml:space="preserve"> June 15 2020</w:t>
            </w:r>
          </w:p>
          <w:p w14:paraId="0EE035B5" w14:textId="77777777" w:rsidR="00FB783C" w:rsidRPr="00FB783C" w:rsidRDefault="00FB783C"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B783C">
              <w:rPr>
                <w:rFonts w:ascii="Century Gothic Light" w:hAnsi="Century Gothic Light" w:cs="Century Gothic Light"/>
                <w:color w:val="09223F"/>
                <w:sz w:val="22"/>
                <w:szCs w:val="22"/>
              </w:rPr>
              <w:t>Co-author, "COVID-19: Health Plan Coverage For Furloughed Employees," Fennemore Client Alert, March 26, 2020</w:t>
            </w:r>
          </w:p>
          <w:p w14:paraId="4A791428" w14:textId="77777777" w:rsidR="00FB783C" w:rsidRPr="00FB783C" w:rsidRDefault="00FB783C"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B783C">
              <w:rPr>
                <w:rFonts w:ascii="Century Gothic Light" w:hAnsi="Century Gothic Light" w:cs="Century Gothic Light"/>
                <w:color w:val="09223F"/>
                <w:sz w:val="22"/>
                <w:szCs w:val="22"/>
              </w:rPr>
              <w:t>Co-author, "Understanding the Emergency Family Medical Leave Expansion Act and Emergency Paid Sick Leave in the Families First Coronavirus Response Act," Fennemore Client Alert, March 20, 2020</w:t>
            </w:r>
          </w:p>
          <w:p w14:paraId="22070D3D" w14:textId="77777777" w:rsidR="00FB783C" w:rsidRPr="00FB783C" w:rsidRDefault="00FB783C"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B783C">
              <w:rPr>
                <w:rFonts w:ascii="Century Gothic Light" w:hAnsi="Century Gothic Light" w:cs="Century Gothic Light"/>
                <w:color w:val="09223F"/>
                <w:sz w:val="22"/>
                <w:szCs w:val="22"/>
              </w:rPr>
              <w:t>Co-author, "Frequently Asked Questions About the Coronavirus in the Employment Setting," Fennemore Client Alert, March 17, 2020</w:t>
            </w:r>
          </w:p>
          <w:p w14:paraId="3AAB9C0D" w14:textId="03939450" w:rsidR="00996259" w:rsidRPr="00996259" w:rsidRDefault="00FB783C" w:rsidP="00FB783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B783C">
              <w:rPr>
                <w:rFonts w:ascii="Century Gothic Light" w:hAnsi="Century Gothic Light" w:cs="Century Gothic Light"/>
                <w:color w:val="09223F"/>
                <w:sz w:val="22"/>
                <w:szCs w:val="22"/>
              </w:rPr>
              <w:t xml:space="preserve">Quoted, "If I Knew Then," </w:t>
            </w:r>
            <w:r w:rsidRPr="00FB783C">
              <w:rPr>
                <w:rFonts w:ascii="Century Gothic Light" w:hAnsi="Century Gothic Light" w:cs="Century Gothic Light"/>
                <w:i/>
                <w:iCs/>
                <w:color w:val="09223F"/>
                <w:sz w:val="22"/>
                <w:szCs w:val="22"/>
              </w:rPr>
              <w:t>Crain's Phoenix,</w:t>
            </w:r>
            <w:r w:rsidRPr="00FB783C">
              <w:rPr>
                <w:rFonts w:ascii="Century Gothic Light" w:hAnsi="Century Gothic Light" w:cs="Century Gothic Light"/>
                <w:color w:val="09223F"/>
                <w:sz w:val="22"/>
                <w:szCs w:val="22"/>
              </w:rPr>
              <w:t xml:space="preserve"> March 2017</w:t>
            </w:r>
          </w:p>
        </w:tc>
      </w:tr>
      <w:tr w:rsidR="00996259" w14:paraId="40ABFCB5" w14:textId="77777777" w:rsidTr="00B36AF5">
        <w:trPr>
          <w:trHeight w:val="20"/>
        </w:trPr>
        <w:tc>
          <w:tcPr>
            <w:tcW w:w="10299" w:type="dxa"/>
          </w:tcPr>
          <w:p w14:paraId="4521E71C" w14:textId="77777777" w:rsidR="00996259" w:rsidRPr="00A44AD9" w:rsidRDefault="00996259" w:rsidP="00996259">
            <w:pPr>
              <w:pStyle w:val="BasicParagraph"/>
              <w:rPr>
                <w:rFonts w:ascii="Century Gothic Light" w:hAnsi="Century Gothic Light" w:cs="Century Gothic Light"/>
                <w:caps/>
                <w:color w:val="F5821F"/>
                <w:szCs w:val="32"/>
              </w:rPr>
            </w:pPr>
          </w:p>
        </w:tc>
      </w:tr>
      <w:tr w:rsidR="00996259" w14:paraId="0BA99737" w14:textId="77777777" w:rsidTr="00B36AF5">
        <w:trPr>
          <w:trHeight w:val="576"/>
        </w:trPr>
        <w:tc>
          <w:tcPr>
            <w:tcW w:w="10299" w:type="dxa"/>
          </w:tcPr>
          <w:p w14:paraId="210A75EF"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professional and community activities</w:t>
            </w:r>
          </w:p>
          <w:p w14:paraId="295B24EC"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Member, Labor and Employment Section, American Bar Association</w:t>
            </w:r>
          </w:p>
          <w:p w14:paraId="28A43612"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Member, Arizona Association of Defense Counsel</w:t>
            </w:r>
          </w:p>
          <w:p w14:paraId="3EBB1D31"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Member, The Sedona Conference Working Group 1 on Electronic Documents Retention and Production</w:t>
            </w:r>
          </w:p>
          <w:p w14:paraId="2B5BB3AC"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Vice-Chair, Board of Directors, Christian Family Care Agency</w:t>
            </w:r>
          </w:p>
          <w:p w14:paraId="7808A346"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Past Chair, Labor and Employment Section, State Bar of Arizona</w:t>
            </w:r>
          </w:p>
          <w:p w14:paraId="7E6CB3CE"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Past Chair-Elect, Treasurer and Secretary, Labor and Employment Section, State Bar of Arizona</w:t>
            </w:r>
          </w:p>
          <w:p w14:paraId="2B3ADDF3"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Past Chair, Continuing Legal Education Committee, Labor and Employment Section, State Bar of Arizona</w:t>
            </w:r>
          </w:p>
          <w:p w14:paraId="0C616D5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Past Co-Chair, Labor and Employment Section, State Bar of Arizona’s Annual Convention</w:t>
            </w:r>
          </w:p>
          <w:p w14:paraId="10ACC068"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Former Arbitrator, Orange County Bar Association Mandatory Fee Arbitration Committee</w:t>
            </w:r>
          </w:p>
          <w:p w14:paraId="4E5E1DC9" w14:textId="77777777" w:rsidR="00996259" w:rsidRP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color w:val="09223F"/>
                <w:sz w:val="22"/>
                <w:szCs w:val="22"/>
              </w:rPr>
              <w:t>Former Barrister, William P. Gray Legion Lex Inn of Court Foundation</w:t>
            </w:r>
          </w:p>
        </w:tc>
      </w:tr>
      <w:tr w:rsidR="00996259" w14:paraId="1652D173" w14:textId="77777777" w:rsidTr="00B36AF5">
        <w:trPr>
          <w:trHeight w:val="144"/>
        </w:trPr>
        <w:tc>
          <w:tcPr>
            <w:tcW w:w="10299" w:type="dxa"/>
          </w:tcPr>
          <w:p w14:paraId="041AE1BD" w14:textId="77777777" w:rsidR="00996259" w:rsidRPr="001138EA" w:rsidRDefault="00996259" w:rsidP="00996259">
            <w:pPr>
              <w:pStyle w:val="BasicParagraph"/>
              <w:rPr>
                <w:rFonts w:ascii="Century Gothic Light" w:hAnsi="Century Gothic Light" w:cs="Century Gothic Light"/>
                <w:caps/>
                <w:color w:val="F5821F"/>
                <w:sz w:val="22"/>
                <w:szCs w:val="32"/>
              </w:rPr>
            </w:pPr>
          </w:p>
        </w:tc>
      </w:tr>
      <w:tr w:rsidR="00996259" w14:paraId="37A27DBA" w14:textId="77777777" w:rsidTr="00B36AF5">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03869B7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Arizona</w:t>
            </w:r>
          </w:p>
          <w:p w14:paraId="5E073A03"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California</w:t>
            </w:r>
          </w:p>
          <w:p w14:paraId="564979BE"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p w14:paraId="5BD057D2"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District of Arizona</w:t>
            </w:r>
          </w:p>
          <w:p w14:paraId="62C5FF69"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Central District of California</w:t>
            </w:r>
          </w:p>
          <w:p w14:paraId="60E43D1A"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Eastern District of California</w:t>
            </w:r>
          </w:p>
          <w:p w14:paraId="2F09061B"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Northern District of California</w:t>
            </w:r>
          </w:p>
          <w:p w14:paraId="083C16B9" w14:textId="77777777" w:rsid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Southern District of California</w:t>
            </w:r>
          </w:p>
          <w:p w14:paraId="044073AE" w14:textId="77777777" w:rsidR="00996259" w:rsidRPr="00996259" w:rsidRDefault="00996259" w:rsidP="009962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96259">
              <w:rPr>
                <w:rFonts w:ascii="Century Gothic Light" w:hAnsi="Century Gothic Light" w:cs="Century Gothic Light"/>
                <w:color w:val="09223F"/>
                <w:sz w:val="22"/>
                <w:szCs w:val="22"/>
              </w:rPr>
              <w:t>U.S. Court of Appeals, Ninth Circuit</w:t>
            </w:r>
          </w:p>
        </w:tc>
      </w:tr>
    </w:tbl>
    <w:p w14:paraId="6FBE2627" w14:textId="77777777" w:rsidR="008700A0" w:rsidRDefault="008700A0" w:rsidP="008700A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3B1B6" w14:textId="77777777" w:rsidR="00D05EBB" w:rsidRDefault="00D05EBB" w:rsidP="008700A0">
      <w:pPr>
        <w:spacing w:after="0" w:line="240" w:lineRule="auto"/>
      </w:pPr>
      <w:r>
        <w:separator/>
      </w:r>
    </w:p>
  </w:endnote>
  <w:endnote w:type="continuationSeparator" w:id="0">
    <w:p w14:paraId="3CF77A04" w14:textId="77777777" w:rsidR="00D05EBB" w:rsidRDefault="00D05EBB"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907BE" w14:textId="77777777" w:rsidR="00D05EBB" w:rsidRDefault="00D05EBB" w:rsidP="008700A0">
      <w:pPr>
        <w:spacing w:after="0" w:line="240" w:lineRule="auto"/>
      </w:pPr>
      <w:r>
        <w:separator/>
      </w:r>
    </w:p>
  </w:footnote>
  <w:footnote w:type="continuationSeparator" w:id="0">
    <w:p w14:paraId="09F62A88" w14:textId="77777777" w:rsidR="00D05EBB" w:rsidRDefault="00D05EBB"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646FE0A6">
          <wp:simplePos x="0" y="0"/>
          <wp:positionH relativeFrom="margin">
            <wp:posOffset>-457200</wp:posOffset>
          </wp:positionH>
          <wp:positionV relativeFrom="margin">
            <wp:posOffset>-463550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7714BB63">
          <wp:simplePos x="0" y="0"/>
          <wp:positionH relativeFrom="margin">
            <wp:posOffset>-457200</wp:posOffset>
          </wp:positionH>
          <wp:positionV relativeFrom="margin">
            <wp:posOffset>-463550</wp:posOffset>
          </wp:positionV>
          <wp:extent cx="7772360" cy="1005834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60" cy="10058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963"/>
    <w:multiLevelType w:val="multilevel"/>
    <w:tmpl w:val="7062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15:restartNumberingAfterBreak="0">
    <w:nsid w:val="6EAE4FFE"/>
    <w:multiLevelType w:val="hybridMultilevel"/>
    <w:tmpl w:val="FCBA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B29E6"/>
    <w:rsid w:val="001138EA"/>
    <w:rsid w:val="00136205"/>
    <w:rsid w:val="001C114D"/>
    <w:rsid w:val="00203E06"/>
    <w:rsid w:val="0024745E"/>
    <w:rsid w:val="002548B5"/>
    <w:rsid w:val="00300754"/>
    <w:rsid w:val="00315E14"/>
    <w:rsid w:val="00351619"/>
    <w:rsid w:val="00401A9D"/>
    <w:rsid w:val="004522BD"/>
    <w:rsid w:val="004826BB"/>
    <w:rsid w:val="004F76C4"/>
    <w:rsid w:val="0051628E"/>
    <w:rsid w:val="005C2369"/>
    <w:rsid w:val="00617B93"/>
    <w:rsid w:val="006A4557"/>
    <w:rsid w:val="006C3647"/>
    <w:rsid w:val="007B3BC7"/>
    <w:rsid w:val="00827369"/>
    <w:rsid w:val="00860E3A"/>
    <w:rsid w:val="008700A0"/>
    <w:rsid w:val="008B7901"/>
    <w:rsid w:val="008D0268"/>
    <w:rsid w:val="009268E5"/>
    <w:rsid w:val="00926E51"/>
    <w:rsid w:val="00985545"/>
    <w:rsid w:val="00996259"/>
    <w:rsid w:val="009A0480"/>
    <w:rsid w:val="00A44AD9"/>
    <w:rsid w:val="00A529EC"/>
    <w:rsid w:val="00A940DE"/>
    <w:rsid w:val="00AC348B"/>
    <w:rsid w:val="00AC6218"/>
    <w:rsid w:val="00B36AF5"/>
    <w:rsid w:val="00B90C7E"/>
    <w:rsid w:val="00BE3A9A"/>
    <w:rsid w:val="00C24560"/>
    <w:rsid w:val="00C86341"/>
    <w:rsid w:val="00D05EBB"/>
    <w:rsid w:val="00D737F8"/>
    <w:rsid w:val="00DA14C9"/>
    <w:rsid w:val="00DC7E79"/>
    <w:rsid w:val="00E07A5A"/>
    <w:rsid w:val="00E50DE2"/>
    <w:rsid w:val="00E51AB5"/>
    <w:rsid w:val="00EB584A"/>
    <w:rsid w:val="00ED2D47"/>
    <w:rsid w:val="00EE7F20"/>
    <w:rsid w:val="00EF4A1F"/>
    <w:rsid w:val="00F47C3F"/>
    <w:rsid w:val="00F969FC"/>
    <w:rsid w:val="00FA4381"/>
    <w:rsid w:val="00FB06C0"/>
    <w:rsid w:val="00FB783C"/>
    <w:rsid w:val="00FC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Emphasis">
    <w:name w:val="Emphasis"/>
    <w:basedOn w:val="DefaultParagraphFont"/>
    <w:uiPriority w:val="20"/>
    <w:qFormat/>
    <w:rsid w:val="001C114D"/>
    <w:rPr>
      <w:i/>
      <w:iCs/>
    </w:rPr>
  </w:style>
  <w:style w:type="paragraph" w:styleId="ListParagraph">
    <w:name w:val="List Paragraph"/>
    <w:basedOn w:val="Normal"/>
    <w:uiPriority w:val="34"/>
    <w:qFormat/>
    <w:rsid w:val="00EF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3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C2340"/>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5</cp:revision>
  <cp:lastPrinted>2020-08-10T14:54:00Z</cp:lastPrinted>
  <dcterms:created xsi:type="dcterms:W3CDTF">2021-08-20T19:58:00Z</dcterms:created>
  <dcterms:modified xsi:type="dcterms:W3CDTF">2022-01-21T13:04:00Z</dcterms:modified>
</cp:coreProperties>
</file>