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4B78818E" w14:paraId="3E2643B7" w14:textId="77777777">
        <w:trPr>
          <w:trHeight w:val="579"/>
        </w:trPr>
        <w:tc>
          <w:tcPr>
            <w:tcW w:w="10299" w:type="dxa"/>
            <w:tcMar/>
          </w:tcPr>
          <w:p w:rsidRPr="00F23DC3" w:rsidR="00F23DC3" w:rsidP="00F23DC3" w:rsidRDefault="00F23DC3" w14:paraId="7556B840" w14:textId="77777777">
            <w:pPr>
              <w:pStyle w:val="BasicParagraph"/>
              <w:suppressAutoHyphens/>
              <w:spacing w:line="240" w:lineRule="auto"/>
              <w:rPr>
                <w:rFonts w:ascii="Century Gothic Light" w:hAnsi="Century Gothic Light" w:cs="Century Gothic Light"/>
                <w:color w:val="09223F"/>
                <w:sz w:val="22"/>
                <w:szCs w:val="22"/>
              </w:rPr>
            </w:pPr>
            <w:r w:rsidRPr="00F23DC3">
              <w:rPr>
                <w:rFonts w:ascii="Century Gothic Light" w:hAnsi="Century Gothic Light" w:cs="Century Gothic Light"/>
                <w:color w:val="09223F"/>
                <w:sz w:val="22"/>
                <w:szCs w:val="22"/>
              </w:rPr>
              <w:t>T.J. is of counsel in the trusts, estates and wealth preservation practice group where he is adept at counseling clients, building client trust and managing client relationships. He possesses experience in estate planning, trust formation and administration, tax controversy and IRS audits, business contracts, real estate and commercial leases, and tax matters with the ability to understand and negotiate complex agreements.</w:t>
            </w:r>
          </w:p>
          <w:p w:rsidRPr="00F23DC3" w:rsidR="00F23DC3" w:rsidP="00F23DC3" w:rsidRDefault="00F23DC3" w14:paraId="1AE75947" w14:textId="77777777">
            <w:pPr>
              <w:pStyle w:val="BasicParagraph"/>
              <w:suppressAutoHyphens/>
              <w:spacing w:line="240" w:lineRule="auto"/>
              <w:rPr>
                <w:rFonts w:ascii="Century Gothic Light" w:hAnsi="Century Gothic Light" w:cs="Century Gothic Light"/>
                <w:color w:val="09223F"/>
                <w:sz w:val="22"/>
                <w:szCs w:val="22"/>
              </w:rPr>
            </w:pPr>
          </w:p>
          <w:p w:rsidRPr="00F23DC3" w:rsidR="00F23DC3" w:rsidP="00F23DC3" w:rsidRDefault="00F23DC3" w14:paraId="3858AD2B" w14:textId="77777777">
            <w:pPr>
              <w:pStyle w:val="BasicParagraph"/>
              <w:suppressAutoHyphens/>
              <w:spacing w:line="240" w:lineRule="auto"/>
              <w:rPr>
                <w:rFonts w:ascii="Century Gothic Light" w:hAnsi="Century Gothic Light" w:cs="Century Gothic Light"/>
                <w:color w:val="09223F"/>
                <w:sz w:val="22"/>
                <w:szCs w:val="22"/>
              </w:rPr>
            </w:pPr>
            <w:r w:rsidRPr="00F23DC3">
              <w:rPr>
                <w:rFonts w:ascii="Century Gothic Light" w:hAnsi="Century Gothic Light" w:cs="Century Gothic Light"/>
                <w:color w:val="09223F"/>
                <w:sz w:val="22"/>
                <w:szCs w:val="22"/>
              </w:rPr>
              <w:t>Early in his career, T.J. thought that he wanted to be a dentist, but that field’s loss is the legal field’s gain. He has earned a J.D. from the University of Kansas, and a Master of Laws (in taxation) from NYU, and has years of working, speaking, and publishing on many topics in the trusts and tax arenas. He especially likes helping people, defending their interests, resolving their problems, and relieving their burdens. T.J. takes to heart the interests of his clients, putting himself in their shoes, and often stubbornly digging in until he can find a solution to help guide them to the goals that they want to accomplish.</w:t>
            </w:r>
          </w:p>
          <w:p w:rsidRPr="00F23DC3" w:rsidR="00F23DC3" w:rsidP="00F23DC3" w:rsidRDefault="00F23DC3" w14:paraId="3CF82330" w14:textId="77777777">
            <w:pPr>
              <w:pStyle w:val="BasicParagraph"/>
              <w:suppressAutoHyphens/>
              <w:spacing w:line="240" w:lineRule="auto"/>
              <w:rPr>
                <w:rFonts w:ascii="Century Gothic Light" w:hAnsi="Century Gothic Light" w:cs="Century Gothic Light"/>
                <w:color w:val="09223F"/>
                <w:sz w:val="22"/>
                <w:szCs w:val="22"/>
              </w:rPr>
            </w:pPr>
          </w:p>
          <w:p w:rsidR="008700A0" w:rsidP="00F23DC3" w:rsidRDefault="00F23DC3" w14:paraId="39C10D41" w14:textId="166AB6BE">
            <w:r w:rsidRPr="00F23DC3">
              <w:rPr>
                <w:rFonts w:ascii="Century Gothic Light" w:hAnsi="Century Gothic Light" w:cs="Century Gothic Light"/>
                <w:color w:val="09223F"/>
              </w:rPr>
              <w:t>T.J. and his wife have two older children, as well as an 11-year-old still at home, and while not working on homework, they like to hike followed by lots of cooking, and baking – and enjoying family meals together.</w:t>
            </w:r>
          </w:p>
        </w:tc>
      </w:tr>
      <w:tr w:rsidR="008700A0" w:rsidTr="4B78818E"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4B78818E" w14:paraId="42185E66" w14:textId="77777777">
        <w:trPr>
          <w:trHeight w:val="1152"/>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F23DC3" w:rsidR="00F23DC3" w:rsidP="00F23DC3" w:rsidRDefault="00F23DC3" w14:paraId="68DDBF3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23DC3">
              <w:rPr>
                <w:rFonts w:ascii="Century Gothic Light" w:hAnsi="Century Gothic Light" w:cs="Century Gothic Light"/>
                <w:color w:val="09223F"/>
                <w:sz w:val="22"/>
                <w:szCs w:val="22"/>
              </w:rPr>
              <w:t>LL.M., Taxation, New York University School of Law</w:t>
            </w:r>
          </w:p>
          <w:p w:rsidRPr="00F23DC3" w:rsidR="00F23DC3" w:rsidP="00F23DC3" w:rsidRDefault="00F23DC3" w14:paraId="1DFDBE4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23DC3">
              <w:rPr>
                <w:rFonts w:ascii="Century Gothic Light" w:hAnsi="Century Gothic Light" w:cs="Century Gothic Light"/>
                <w:color w:val="09223F"/>
                <w:sz w:val="22"/>
                <w:szCs w:val="22"/>
              </w:rPr>
              <w:t>J.D., University of Kansas School of Law</w:t>
            </w:r>
          </w:p>
          <w:p w:rsidRPr="00F23DC3" w:rsidR="00F23DC3" w:rsidP="00F23DC3" w:rsidRDefault="00F23DC3" w14:paraId="2A78A79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23DC3">
              <w:rPr>
                <w:rFonts w:ascii="Century Gothic Light" w:hAnsi="Century Gothic Light" w:cs="Century Gothic Light"/>
                <w:color w:val="09223F"/>
                <w:sz w:val="22"/>
                <w:szCs w:val="22"/>
              </w:rPr>
              <w:t>B.A., Brigham Young University</w:t>
            </w:r>
          </w:p>
          <w:p w:rsidRPr="00F23DC3" w:rsidR="00F23DC3" w:rsidP="00F23DC3" w:rsidRDefault="00F23DC3" w14:paraId="71C14B5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23DC3">
              <w:rPr>
                <w:rFonts w:ascii="Century Gothic Light" w:hAnsi="Century Gothic Light" w:cs="Century Gothic Light"/>
                <w:color w:val="09223F"/>
                <w:sz w:val="22"/>
                <w:szCs w:val="22"/>
              </w:rPr>
              <w:t>Order of the Coif</w:t>
            </w:r>
          </w:p>
          <w:p w:rsidRPr="00F23DC3" w:rsidR="00F23DC3" w:rsidP="00F23DC3" w:rsidRDefault="00F23DC3" w14:paraId="1F74A83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23DC3">
              <w:rPr>
                <w:rFonts w:ascii="Century Gothic Light" w:hAnsi="Century Gothic Light" w:cs="Century Gothic Light"/>
                <w:color w:val="09223F"/>
                <w:sz w:val="22"/>
                <w:szCs w:val="22"/>
              </w:rPr>
              <w:t>CALI Excellence for the Future Award in Federal Income Taxation</w:t>
            </w:r>
          </w:p>
          <w:p w:rsidR="008700A0" w:rsidP="00F23DC3" w:rsidRDefault="00F23DC3" w14:paraId="3BF85D19" w14:textId="59653A3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F23DC3">
              <w:rPr>
                <w:rFonts w:ascii="Century Gothic Light" w:hAnsi="Century Gothic Light" w:cs="Century Gothic Light"/>
                <w:color w:val="09223F"/>
                <w:sz w:val="22"/>
                <w:szCs w:val="22"/>
              </w:rPr>
              <w:t xml:space="preserve">Staff, </w:t>
            </w:r>
            <w:r w:rsidRPr="00F23DC3">
              <w:rPr>
                <w:rFonts w:ascii="Century Gothic Light" w:hAnsi="Century Gothic Light" w:cs="Century Gothic Light"/>
                <w:i/>
                <w:iCs/>
                <w:color w:val="09223F"/>
                <w:sz w:val="22"/>
                <w:szCs w:val="22"/>
              </w:rPr>
              <w:t>University of Kansas Law Review</w:t>
            </w:r>
          </w:p>
        </w:tc>
      </w:tr>
      <w:tr w:rsidR="00DE4410" w:rsidTr="4B78818E"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4B78818E"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996259" w:rsidTr="00996259" w14:paraId="2FD63DE2" w14:textId="77777777">
              <w:tc>
                <w:tcPr>
                  <w:tcW w:w="5036" w:type="dxa"/>
                </w:tcPr>
                <w:p w:rsidRPr="00E10978" w:rsidR="00E10978" w:rsidP="00D11FE7" w:rsidRDefault="00E10978" w14:paraId="5F6E394D"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sidRPr="00E10978">
                    <w:rPr>
                      <w:rFonts w:ascii="Century Gothic Light" w:hAnsi="Century Gothic Light" w:cs="Century Gothic Light"/>
                      <w:color w:val="09223F"/>
                      <w:sz w:val="22"/>
                      <w:szCs w:val="22"/>
                    </w:rPr>
                    <w:t>Administration and Probate</w:t>
                  </w:r>
                </w:p>
                <w:p w:rsidRPr="00E10978" w:rsidR="00E10978" w:rsidP="00D11FE7" w:rsidRDefault="00E10978" w14:paraId="2299349D"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sidRPr="00E10978">
                    <w:rPr>
                      <w:rFonts w:ascii="Century Gothic Light" w:hAnsi="Century Gothic Light" w:cs="Century Gothic Light"/>
                      <w:color w:val="09223F"/>
                      <w:sz w:val="22"/>
                      <w:szCs w:val="22"/>
                    </w:rPr>
                    <w:t>Agribusiness</w:t>
                  </w:r>
                </w:p>
                <w:p w:rsidRPr="00E10978" w:rsidR="00E10978" w:rsidP="00D11FE7" w:rsidRDefault="00E10978" w14:paraId="6A842541"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sidRPr="00E10978">
                    <w:rPr>
                      <w:rFonts w:ascii="Century Gothic Light" w:hAnsi="Century Gothic Light" w:cs="Century Gothic Light"/>
                      <w:color w:val="09223F"/>
                      <w:sz w:val="22"/>
                      <w:szCs w:val="22"/>
                    </w:rPr>
                    <w:t>Business Transactions and</w:t>
                  </w:r>
                </w:p>
                <w:p w:rsidR="00E10978" w:rsidP="00D11FE7" w:rsidRDefault="00E10978" w14:paraId="6A960D9F" w14:textId="40C10450">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sidRPr="00E10978">
                    <w:rPr>
                      <w:rFonts w:ascii="Century Gothic Light" w:hAnsi="Century Gothic Light" w:cs="Century Gothic Light"/>
                      <w:color w:val="09223F"/>
                      <w:sz w:val="22"/>
                      <w:szCs w:val="22"/>
                    </w:rPr>
                    <w:lastRenderedPageBreak/>
                    <w:t>Entity Formation</w:t>
                  </w:r>
                </w:p>
                <w:p w:rsidRPr="00E10978" w:rsidR="00963B26" w:rsidP="00D11FE7" w:rsidRDefault="00963B26" w14:paraId="47CF55C4" w14:textId="6EBD31EB">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Estate Litigation</w:t>
                  </w:r>
                </w:p>
                <w:p w:rsidRPr="00963B26" w:rsidR="00963B26" w:rsidP="00D11FE7" w:rsidRDefault="00E10978" w14:paraId="46911109" w14:textId="110D27EA">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sidRPr="00E10978">
                    <w:rPr>
                      <w:rFonts w:ascii="Century Gothic Light" w:hAnsi="Century Gothic Light" w:cs="Century Gothic Light"/>
                      <w:color w:val="09223F"/>
                      <w:sz w:val="22"/>
                      <w:szCs w:val="22"/>
                    </w:rPr>
                    <w:t>Estate Planning</w:t>
                  </w:r>
                </w:p>
              </w:tc>
              <w:tc>
                <w:tcPr>
                  <w:tcW w:w="5037" w:type="dxa"/>
                </w:tcPr>
                <w:p w:rsidRPr="00E10978" w:rsidR="00E10978" w:rsidP="00D11FE7" w:rsidRDefault="00E10978" w14:paraId="131C5C7E" w14:textId="17F2859E">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sidRPr="00E10978">
                    <w:rPr>
                      <w:rFonts w:ascii="Century Gothic Light" w:hAnsi="Century Gothic Light" w:cs="Century Gothic Light"/>
                      <w:color w:val="09223F"/>
                      <w:sz w:val="22"/>
                      <w:szCs w:val="22"/>
                    </w:rPr>
                    <w:lastRenderedPageBreak/>
                    <w:t>Health Care</w:t>
                  </w:r>
                </w:p>
                <w:p w:rsidR="00E10978" w:rsidP="00D11FE7" w:rsidRDefault="00E10978" w14:paraId="42150FDC" w14:textId="6B30FBF4">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sidRPr="00E10978">
                    <w:rPr>
                      <w:rFonts w:ascii="Century Gothic Light" w:hAnsi="Century Gothic Light" w:cs="Century Gothic Light"/>
                      <w:color w:val="09223F"/>
                      <w:sz w:val="22"/>
                      <w:szCs w:val="22"/>
                    </w:rPr>
                    <w:t>Mergers and Acquisitions</w:t>
                  </w:r>
                </w:p>
                <w:p w:rsidRPr="00E10978" w:rsidR="00963B26" w:rsidP="00D11FE7" w:rsidRDefault="00963B26" w14:paraId="513EBBF2" w14:textId="5BCBB7B1">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Private Client and Wealth Law</w:t>
                  </w:r>
                </w:p>
                <w:p w:rsidRPr="00E10978" w:rsidR="00E10978" w:rsidP="00D11FE7" w:rsidRDefault="00E10978" w14:paraId="3D0E4CB4"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sidRPr="00E10978">
                    <w:rPr>
                      <w:rFonts w:ascii="Century Gothic Light" w:hAnsi="Century Gothic Light" w:cs="Century Gothic Light"/>
                      <w:color w:val="09223F"/>
                      <w:sz w:val="22"/>
                      <w:szCs w:val="22"/>
                    </w:rPr>
                    <w:lastRenderedPageBreak/>
                    <w:t>Private Equity and Securities</w:t>
                  </w:r>
                </w:p>
                <w:p w:rsidR="00996259" w:rsidP="00D11FE7" w:rsidRDefault="00E10978" w14:paraId="5634689B"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sidRPr="00E10978">
                    <w:rPr>
                      <w:rFonts w:ascii="Century Gothic Light" w:hAnsi="Century Gothic Light" w:cs="Century Gothic Light"/>
                      <w:color w:val="09223F"/>
                      <w:sz w:val="22"/>
                      <w:szCs w:val="22"/>
                    </w:rPr>
                    <w:t>Real Estate and Land Use</w:t>
                  </w:r>
                </w:p>
                <w:p w:rsidRPr="00DE4410" w:rsidR="00963B26" w:rsidP="00D11FE7" w:rsidRDefault="00963B26" w14:paraId="22A85BCB" w14:textId="7D7846BB">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Trusts and Estates</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996259" w:rsidTr="4B78818E" w14:paraId="7FB8CE59" w14:textId="77777777">
        <w:trPr>
          <w:trHeight w:val="288"/>
        </w:trPr>
        <w:tc>
          <w:tcPr>
            <w:tcW w:w="10299" w:type="dxa"/>
            <w:tcMar/>
          </w:tcPr>
          <w:p w:rsidRPr="00A44AD9" w:rsidR="00996259" w:rsidP="00996259" w:rsidRDefault="00996259" w14:paraId="0FC12518" w14:textId="77777777">
            <w:pPr>
              <w:pStyle w:val="BasicParagraph"/>
              <w:rPr>
                <w:rFonts w:ascii="Century Gothic Light" w:hAnsi="Century Gothic Light" w:cs="Century Gothic Light"/>
                <w:caps/>
                <w:color w:val="F5821F"/>
                <w:szCs w:val="32"/>
              </w:rPr>
            </w:pPr>
          </w:p>
        </w:tc>
      </w:tr>
      <w:tr w:rsidR="00996259" w:rsidTr="4B78818E" w14:paraId="420B9392" w14:textId="77777777">
        <w:trPr>
          <w:trHeight w:val="576"/>
        </w:trPr>
        <w:tc>
          <w:tcPr>
            <w:tcW w:w="10299" w:type="dxa"/>
            <w:tcMar/>
          </w:tcPr>
          <w:p w:rsidR="00996259" w:rsidP="00996259" w:rsidRDefault="00DE4410" w14:paraId="6FD13B38" w14:textId="71A753E6">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Pr="00590A25" w:rsidR="00996259" w:rsidP="00590A25" w:rsidRDefault="00E10978" w14:paraId="13C32FC0" w14:textId="7C3F5BED">
            <w:pPr>
              <w:pStyle w:val="BasicParagraph"/>
              <w:numPr>
                <w:ilvl w:val="0"/>
                <w:numId w:val="1"/>
              </w:numPr>
              <w:suppressAutoHyphens/>
              <w:spacing w:line="240" w:lineRule="auto"/>
              <w:rPr>
                <w:rFonts w:ascii="Century Gothic Light" w:hAnsi="Century Gothic Light" w:cs="Century Gothic Light"/>
                <w:i/>
                <w:color w:val="09223F"/>
                <w:sz w:val="22"/>
                <w:szCs w:val="22"/>
              </w:rPr>
            </w:pPr>
            <w:r w:rsidRPr="00E10978">
              <w:rPr>
                <w:rFonts w:ascii="Century Gothic Light" w:hAnsi="Century Gothic Light" w:cs="Century Gothic Light"/>
                <w:i/>
                <w:color w:val="09223F"/>
                <w:sz w:val="22"/>
                <w:szCs w:val="22"/>
              </w:rPr>
              <w:t>Super Lawyers</w:t>
            </w:r>
            <w:r w:rsidRPr="00E10978">
              <w:rPr>
                <w:rFonts w:ascii="Century Gothic Light" w:hAnsi="Century Gothic Light" w:cs="Century Gothic Light"/>
                <w:i/>
                <w:color w:val="09223F"/>
                <w:sz w:val="22"/>
                <w:szCs w:val="22"/>
                <w:vertAlign w:val="superscript"/>
              </w:rPr>
              <w:t>®</w:t>
            </w:r>
            <w:r w:rsidR="008F5DD7">
              <w:rPr>
                <w:rFonts w:ascii="Century Gothic Light" w:hAnsi="Century Gothic Light" w:cs="Century Gothic Light"/>
                <w:i/>
                <w:color w:val="09223F"/>
                <w:sz w:val="22"/>
                <w:szCs w:val="22"/>
              </w:rPr>
              <w:t xml:space="preserve"> Rising Stars, </w:t>
            </w:r>
            <w:r w:rsidR="008F5DD7">
              <w:rPr>
                <w:rFonts w:ascii="Century Gothic Light" w:hAnsi="Century Gothic Light" w:cs="Century Gothic Light"/>
                <w:iCs/>
                <w:color w:val="09223F"/>
                <w:sz w:val="22"/>
                <w:szCs w:val="22"/>
              </w:rPr>
              <w:t>2012</w:t>
            </w:r>
          </w:p>
        </w:tc>
      </w:tr>
      <w:tr w:rsidR="00E10978" w:rsidTr="4B78818E" w14:paraId="66D05269" w14:textId="77777777">
        <w:trPr>
          <w:trHeight w:val="288"/>
        </w:trPr>
        <w:tc>
          <w:tcPr>
            <w:tcW w:w="10299" w:type="dxa"/>
            <w:tcMar/>
          </w:tcPr>
          <w:p w:rsidRPr="008F5DD7" w:rsidR="00E10978" w:rsidP="00996259" w:rsidRDefault="00E10978" w14:paraId="418D5A5C" w14:textId="77777777">
            <w:pPr>
              <w:pStyle w:val="BasicParagraph"/>
              <w:rPr>
                <w:rFonts w:ascii="Century Gothic Light" w:hAnsi="Century Gothic Light" w:cs="Century Gothic Light"/>
                <w:caps/>
                <w:color w:val="F5821F"/>
                <w:szCs w:val="28"/>
              </w:rPr>
            </w:pPr>
          </w:p>
        </w:tc>
      </w:tr>
      <w:tr w:rsidR="008F5DD7" w:rsidTr="4B78818E" w14:paraId="1082CC62" w14:textId="77777777">
        <w:trPr>
          <w:trHeight w:val="288"/>
        </w:trPr>
        <w:tc>
          <w:tcPr>
            <w:tcW w:w="10299" w:type="dxa"/>
            <w:tcMar/>
          </w:tcPr>
          <w:p w:rsidR="008F5DD7" w:rsidP="008F5DD7" w:rsidRDefault="008F5DD7" w14:paraId="2618D32B" w14:textId="77777777">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articles and presentations</w:t>
            </w:r>
          </w:p>
          <w:p w:rsidRPr="00D11FE7" w:rsidR="00D11FE7" w:rsidP="00D11FE7" w:rsidRDefault="00D11FE7" w14:paraId="5C08097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11FE7">
              <w:rPr>
                <w:rFonts w:ascii="Century Gothic Light" w:hAnsi="Century Gothic Light" w:cs="Century Gothic Light"/>
                <w:color w:val="09223F"/>
                <w:sz w:val="22"/>
                <w:szCs w:val="22"/>
              </w:rPr>
              <w:t xml:space="preserve">Quoted, "Tweets, Tips, and Taxes," </w:t>
            </w:r>
            <w:proofErr w:type="spellStart"/>
            <w:r w:rsidRPr="00D11FE7">
              <w:rPr>
                <w:rFonts w:ascii="Century Gothic Light" w:hAnsi="Century Gothic Light" w:cs="Century Gothic Light"/>
                <w:color w:val="09223F"/>
                <w:sz w:val="22"/>
                <w:szCs w:val="22"/>
              </w:rPr>
              <w:t>Channelchek</w:t>
            </w:r>
            <w:proofErr w:type="spellEnd"/>
            <w:r w:rsidRPr="00D11FE7">
              <w:rPr>
                <w:rFonts w:ascii="Century Gothic Light" w:hAnsi="Century Gothic Light" w:cs="Century Gothic Light"/>
                <w:color w:val="09223F"/>
                <w:sz w:val="22"/>
                <w:szCs w:val="22"/>
              </w:rPr>
              <w:t>, May 6, 2021</w:t>
            </w:r>
          </w:p>
          <w:p w:rsidRPr="00EF4364" w:rsidR="00EF4364" w:rsidP="00EF4364" w:rsidRDefault="00EF4364" w14:paraId="4DB2CAA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7">
              <w:r w:rsidRPr="00EF4364">
                <w:rPr>
                  <w:rFonts w:ascii="Century Gothic Light" w:hAnsi="Century Gothic Light" w:cs="Century Gothic Light"/>
                  <w:color w:val="09223F"/>
                  <w:sz w:val="22"/>
                  <w:szCs w:val="22"/>
                </w:rPr>
                <w:t>Author, "Arizona Department of Revenue Extends Due Dates," Fennemore Client Alert, April 7, 2020</w:t>
              </w:r>
            </w:hyperlink>
          </w:p>
          <w:p w:rsidR="00BB1E71" w:rsidP="00E30061" w:rsidRDefault="00BB1E71" w14:paraId="522362D1" w14:textId="335C752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BB1E71">
              <w:rPr>
                <w:rFonts w:ascii="Century Gothic Light" w:hAnsi="Century Gothic Light" w:cs="Century Gothic Light"/>
                <w:color w:val="09223F"/>
                <w:sz w:val="22"/>
                <w:szCs w:val="22"/>
              </w:rPr>
              <w:t>Author, "Arizona Tax Increase, Estimated Tax Payments, and Proposition 208," Fennemore Client Alert, March 22, 2021</w:t>
            </w:r>
          </w:p>
          <w:p w:rsidRPr="00E30061" w:rsidR="00E30061" w:rsidP="00E30061" w:rsidRDefault="008B23FE" w14:paraId="7C63B467" w14:textId="177DDA10">
            <w:pPr>
              <w:pStyle w:val="BasicParagraph"/>
              <w:numPr>
                <w:ilvl w:val="0"/>
                <w:numId w:val="1"/>
              </w:numPr>
              <w:suppressAutoHyphens/>
              <w:spacing w:line="240" w:lineRule="auto"/>
              <w:rPr>
                <w:rFonts w:ascii="Century Gothic Light" w:hAnsi="Century Gothic Light" w:cs="Century Gothic Light"/>
                <w:color w:val="09223F"/>
                <w:sz w:val="22"/>
                <w:szCs w:val="22"/>
              </w:rPr>
            </w:pPr>
            <w:hyperlink w:tgtFrame="_blank" w:history="1" r:id="rId8">
              <w:r w:rsidRPr="00E30061" w:rsidR="00E30061">
                <w:rPr>
                  <w:rFonts w:ascii="Century Gothic Light" w:hAnsi="Century Gothic Light" w:cs="Century Gothic Light"/>
                  <w:color w:val="09223F"/>
                  <w:sz w:val="22"/>
                  <w:szCs w:val="22"/>
                </w:rPr>
                <w:t>Author, "Federal Return Filing Date and Tax Payment Date Extended," Fennemore Client Alert, March 19, 2021</w:t>
              </w:r>
            </w:hyperlink>
          </w:p>
          <w:p w:rsidRPr="0078790B" w:rsidR="0078790B" w:rsidP="0078790B" w:rsidRDefault="0078790B" w14:paraId="26CE2C1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790B">
              <w:rPr>
                <w:rFonts w:ascii="Century Gothic Light" w:hAnsi="Century Gothic Light" w:cs="Century Gothic Light"/>
                <w:color w:val="09223F"/>
                <w:sz w:val="22"/>
                <w:szCs w:val="22"/>
              </w:rPr>
              <w:t>Author, "Federal Tax Filing and Payment Due Dates Will Not Change," Fennemore Client Alert, July 2, 2020</w:t>
            </w:r>
          </w:p>
          <w:p w:rsidRPr="0078790B" w:rsidR="0078790B" w:rsidP="0078790B" w:rsidRDefault="0078790B" w14:paraId="4E7F58B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790B">
              <w:rPr>
                <w:rFonts w:ascii="Century Gothic Light" w:hAnsi="Century Gothic Light" w:cs="Century Gothic Light"/>
                <w:color w:val="09223F"/>
                <w:sz w:val="22"/>
                <w:szCs w:val="22"/>
              </w:rPr>
              <w:t>Author, "Arizona Tax Relief vs. Federal Tax Relief," Fennemore Client Alert, April 13, 2020</w:t>
            </w:r>
          </w:p>
          <w:p w:rsidRPr="0078790B" w:rsidR="0078790B" w:rsidP="0078790B" w:rsidRDefault="0078790B" w14:paraId="067B017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790B">
              <w:rPr>
                <w:rFonts w:ascii="Century Gothic Light" w:hAnsi="Century Gothic Light" w:cs="Century Gothic Light"/>
                <w:color w:val="09223F"/>
                <w:sz w:val="22"/>
                <w:szCs w:val="22"/>
              </w:rPr>
              <w:t>Author, "The IRS Expands Tax Relief - Again!" Fennemore Client Alert, April 10, 2020</w:t>
            </w:r>
          </w:p>
          <w:p w:rsidRPr="0078790B" w:rsidR="0078790B" w:rsidP="0078790B" w:rsidRDefault="0078790B" w14:paraId="37F48A7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790B">
              <w:rPr>
                <w:rFonts w:ascii="Century Gothic Light" w:hAnsi="Century Gothic Light" w:cs="Century Gothic Light"/>
                <w:color w:val="09223F"/>
                <w:sz w:val="22"/>
                <w:szCs w:val="22"/>
              </w:rPr>
              <w:t>Co-author, "The CARES Act: New Tax Provisions for Charitable Deductions," Fennemore Client Alert, March 31, 2020</w:t>
            </w:r>
          </w:p>
          <w:p w:rsidRPr="0078790B" w:rsidR="0078790B" w:rsidP="0078790B" w:rsidRDefault="0078790B" w14:paraId="3B71260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8790B">
              <w:rPr>
                <w:rFonts w:ascii="Century Gothic Light" w:hAnsi="Century Gothic Light" w:cs="Century Gothic Light"/>
                <w:color w:val="09223F"/>
                <w:sz w:val="22"/>
                <w:szCs w:val="22"/>
              </w:rPr>
              <w:t>Author, "Gift and GST Tax Payment and Filing Deadlines Extended," Fennemore Client Alert, March 30, 2020</w:t>
            </w:r>
          </w:p>
          <w:p w:rsidRPr="008F5DD7" w:rsidR="008F5DD7" w:rsidP="0078790B" w:rsidRDefault="0078790B" w14:paraId="68FB6C9E" w14:textId="32B4705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4B78818E" w:rsidR="4B78818E">
              <w:rPr>
                <w:rFonts w:ascii="Century Gothic Light" w:hAnsi="Century Gothic Light" w:cs="Century Gothic Light"/>
                <w:color w:val="09223F"/>
                <w:sz w:val="22"/>
                <w:szCs w:val="22"/>
              </w:rPr>
              <w:t>Author, "Recent Tax Developments - December 2019 IRA and Retirement Plan Alert," Fennemore Client Alert, December 23, 2019</w:t>
            </w:r>
          </w:p>
        </w:tc>
      </w:tr>
      <w:tr w:rsidR="008F5DD7" w:rsidTr="4B78818E" w14:paraId="2AE7EC88" w14:textId="77777777">
        <w:trPr>
          <w:trHeight w:val="288"/>
        </w:trPr>
        <w:tc>
          <w:tcPr>
            <w:tcW w:w="10299" w:type="dxa"/>
            <w:tcMar/>
          </w:tcPr>
          <w:p w:rsidRPr="008F5DD7" w:rsidR="008F5DD7" w:rsidP="00996259" w:rsidRDefault="008F5DD7" w14:paraId="3FB5576E" w14:textId="77777777">
            <w:pPr>
              <w:pStyle w:val="BasicParagraph"/>
              <w:rPr>
                <w:rFonts w:ascii="Century Gothic Light" w:hAnsi="Century Gothic Light" w:cs="Century Gothic Light"/>
                <w:caps/>
                <w:color w:val="F5821F"/>
                <w:szCs w:val="28"/>
              </w:rPr>
            </w:pPr>
          </w:p>
        </w:tc>
      </w:tr>
      <w:tr w:rsidR="00996259" w:rsidTr="4B78818E" w14:paraId="0BA99737" w14:textId="77777777">
        <w:trPr>
          <w:trHeight w:val="576"/>
        </w:trPr>
        <w:tc>
          <w:tcPr>
            <w:tcW w:w="10299" w:type="dxa"/>
            <w:tcMar/>
          </w:tcPr>
          <w:p w:rsidRPr="00996259" w:rsidR="00996259" w:rsidP="00996259" w:rsidRDefault="00996259" w14:paraId="210A75EF"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professional and community activities</w:t>
            </w:r>
          </w:p>
          <w:p w:rsidRPr="00996259" w:rsidR="00996259" w:rsidP="00E10978" w:rsidRDefault="00590A25" w14:paraId="4E5E1DC9" w14:textId="4D615CF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90A25">
              <w:rPr>
                <w:rFonts w:ascii="Century Gothic Light" w:hAnsi="Century Gothic Light" w:cs="Century Gothic Light"/>
                <w:color w:val="09223F"/>
                <w:sz w:val="22"/>
                <w:szCs w:val="22"/>
              </w:rPr>
              <w:t>Member, State Bar of Arizona Convention Committee</w:t>
            </w:r>
          </w:p>
        </w:tc>
      </w:tr>
      <w:tr w:rsidR="00996259" w:rsidTr="4B78818E" w14:paraId="1652D173" w14:textId="77777777">
        <w:trPr>
          <w:trHeight w:val="288"/>
        </w:trPr>
        <w:tc>
          <w:tcPr>
            <w:tcW w:w="10299" w:type="dxa"/>
            <w:tcMar/>
          </w:tcPr>
          <w:p w:rsidRPr="005B5688" w:rsidR="00996259" w:rsidP="00996259" w:rsidRDefault="00996259" w14:paraId="041AE1BD" w14:textId="77777777">
            <w:pPr>
              <w:pStyle w:val="BasicParagraph"/>
              <w:rPr>
                <w:rFonts w:ascii="Century Gothic Light" w:hAnsi="Century Gothic Light" w:cs="Century Gothic Light"/>
                <w:caps/>
                <w:color w:val="F5821F"/>
                <w:szCs w:val="36"/>
              </w:rPr>
            </w:pPr>
          </w:p>
        </w:tc>
      </w:tr>
      <w:tr w:rsidR="00996259" w:rsidTr="4B78818E"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590A25" w:rsidR="00590A25" w:rsidP="00590A25" w:rsidRDefault="00590A25" w14:paraId="46BD155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90A25">
              <w:rPr>
                <w:rFonts w:ascii="Century Gothic Light" w:hAnsi="Century Gothic Light" w:cs="Century Gothic Light"/>
                <w:color w:val="09223F"/>
                <w:sz w:val="22"/>
                <w:szCs w:val="22"/>
              </w:rPr>
              <w:t>Arizona</w:t>
            </w:r>
          </w:p>
          <w:p w:rsidRPr="00590A25" w:rsidR="00590A25" w:rsidP="00590A25" w:rsidRDefault="00590A25" w14:paraId="5EE8A35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90A25">
              <w:rPr>
                <w:rFonts w:ascii="Century Gothic Light" w:hAnsi="Century Gothic Light" w:cs="Century Gothic Light"/>
                <w:color w:val="09223F"/>
                <w:sz w:val="22"/>
                <w:szCs w:val="22"/>
              </w:rPr>
              <w:t>Colorado</w:t>
            </w:r>
          </w:p>
          <w:p w:rsidRPr="00590A25" w:rsidR="00590A25" w:rsidP="00590A25" w:rsidRDefault="00590A25" w14:paraId="1DCE25C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90A25">
              <w:rPr>
                <w:rFonts w:ascii="Century Gothic Light" w:hAnsi="Century Gothic Light" w:cs="Century Gothic Light"/>
                <w:color w:val="09223F"/>
                <w:sz w:val="22"/>
                <w:szCs w:val="22"/>
              </w:rPr>
              <w:t>Virginia</w:t>
            </w:r>
          </w:p>
          <w:p w:rsidRPr="00590A25" w:rsidR="00590A25" w:rsidP="00590A25" w:rsidRDefault="00590A25" w14:paraId="088D1F5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90A25">
              <w:rPr>
                <w:rFonts w:ascii="Century Gothic Light" w:hAnsi="Century Gothic Light" w:cs="Century Gothic Light"/>
                <w:color w:val="09223F"/>
                <w:sz w:val="22"/>
                <w:szCs w:val="22"/>
              </w:rPr>
              <w:t>U.S. District Court, Western District of Virginia</w:t>
            </w:r>
          </w:p>
          <w:p w:rsidRPr="00590A25" w:rsidR="00590A25" w:rsidP="00590A25" w:rsidRDefault="00590A25" w14:paraId="28F7F55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90A25">
              <w:rPr>
                <w:rFonts w:ascii="Century Gothic Light" w:hAnsi="Century Gothic Light" w:cs="Century Gothic Light"/>
                <w:color w:val="09223F"/>
                <w:sz w:val="22"/>
                <w:szCs w:val="22"/>
              </w:rPr>
              <w:t>U.S. Court of Appeals, Fourth Circuit</w:t>
            </w:r>
          </w:p>
          <w:p w:rsidRPr="00996259" w:rsidR="00996259" w:rsidP="00590A25" w:rsidRDefault="00590A25" w14:paraId="044073AE" w14:textId="4B8CE9C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590A25">
              <w:rPr>
                <w:rFonts w:ascii="Century Gothic Light" w:hAnsi="Century Gothic Light" w:cs="Century Gothic Light"/>
                <w:color w:val="09223F"/>
                <w:sz w:val="22"/>
                <w:szCs w:val="22"/>
              </w:rPr>
              <w:t>U.S. Tax Court</w:t>
            </w:r>
          </w:p>
        </w:tc>
      </w:tr>
    </w:tbl>
    <w:p w:rsidR="008700A0" w:rsidP="008700A0" w:rsidRDefault="008700A0" w14:paraId="6FBE2627" w14:textId="77777777"/>
    <w:sectPr w:rsidR="008700A0" w:rsidSect="00FB06C0">
      <w:headerReference w:type="default" r:id="rId9"/>
      <w:headerReference w:type="first" r:id="rId10"/>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B23FE" w:rsidP="008700A0" w:rsidRDefault="008B23FE" w14:paraId="2F02C949" w14:textId="77777777">
      <w:pPr>
        <w:spacing w:after="0" w:line="240" w:lineRule="auto"/>
      </w:pPr>
      <w:r>
        <w:separator/>
      </w:r>
    </w:p>
  </w:endnote>
  <w:endnote w:type="continuationSeparator" w:id="0">
    <w:p w:rsidR="008B23FE" w:rsidP="008700A0" w:rsidRDefault="008B23FE" w14:paraId="6656105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entury Gothic Light">
    <w:panose1 w:val="020B0302020202020204"/>
    <w:charset w:val="00"/>
    <w:family w:val="swiss"/>
    <w:notTrueType/>
    <w:pitch w:val="variable"/>
    <w:sig w:usb0="A00002FF" w:usb1="4000205B" w:usb2="00000008"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B23FE" w:rsidP="008700A0" w:rsidRDefault="008B23FE" w14:paraId="7E9E7716" w14:textId="77777777">
      <w:pPr>
        <w:spacing w:after="0" w:line="240" w:lineRule="auto"/>
      </w:pPr>
      <w:r>
        <w:separator/>
      </w:r>
    </w:p>
  </w:footnote>
  <w:footnote w:type="continuationSeparator" w:id="0">
    <w:p w:rsidR="008B23FE" w:rsidP="008700A0" w:rsidRDefault="008B23FE" w14:paraId="0D6E90D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6DDDF9D8">
          <wp:simplePos x="0" y="0"/>
          <wp:positionH relativeFrom="margin">
            <wp:posOffset>-457200</wp:posOffset>
          </wp:positionH>
          <wp:positionV relativeFrom="margin">
            <wp:posOffset>-463550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0D9808A6">
          <wp:simplePos x="0" y="0"/>
          <wp:positionH relativeFrom="margin">
            <wp:posOffset>-457200</wp:posOffset>
          </wp:positionH>
          <wp:positionV relativeFrom="margin">
            <wp:posOffset>-462915</wp:posOffset>
          </wp:positionV>
          <wp:extent cx="7772361" cy="10058348"/>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61" cy="100583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229E471B"/>
    <w:multiLevelType w:val="multilevel"/>
    <w:tmpl w:val="4AC4C8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5" w15:restartNumberingAfterBreak="0">
    <w:nsid w:val="544D5A26"/>
    <w:multiLevelType w:val="multilevel"/>
    <w:tmpl w:val="68B44B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6D11659E"/>
    <w:multiLevelType w:val="multilevel"/>
    <w:tmpl w:val="4F700C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6EAE4FFE"/>
    <w:multiLevelType w:val="hybridMultilevel"/>
    <w:tmpl w:val="73D8B7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7"/>
  </w:num>
  <w:num w:numId="2">
    <w:abstractNumId w:val="2"/>
  </w:num>
  <w:num w:numId="3">
    <w:abstractNumId w:val="4"/>
  </w:num>
  <w:num w:numId="4">
    <w:abstractNumId w:val="0"/>
  </w:num>
  <w:num w:numId="5">
    <w:abstractNumId w:val="1"/>
  </w:num>
  <w:num w:numId="6">
    <w:abstractNumId w:val="6"/>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B29E6"/>
    <w:rsid w:val="000C7922"/>
    <w:rsid w:val="001138EA"/>
    <w:rsid w:val="002011B6"/>
    <w:rsid w:val="002548B5"/>
    <w:rsid w:val="00292F99"/>
    <w:rsid w:val="002A12C9"/>
    <w:rsid w:val="00590A25"/>
    <w:rsid w:val="005B5688"/>
    <w:rsid w:val="005F080B"/>
    <w:rsid w:val="00617B93"/>
    <w:rsid w:val="0069596C"/>
    <w:rsid w:val="0078790B"/>
    <w:rsid w:val="007F5739"/>
    <w:rsid w:val="008700A0"/>
    <w:rsid w:val="00883CCB"/>
    <w:rsid w:val="008B23FE"/>
    <w:rsid w:val="008E3D6A"/>
    <w:rsid w:val="008F5DD7"/>
    <w:rsid w:val="00963B26"/>
    <w:rsid w:val="00996259"/>
    <w:rsid w:val="009B4847"/>
    <w:rsid w:val="00A44AD9"/>
    <w:rsid w:val="00BB1E71"/>
    <w:rsid w:val="00C5118F"/>
    <w:rsid w:val="00C61B36"/>
    <w:rsid w:val="00D11FE7"/>
    <w:rsid w:val="00DE4410"/>
    <w:rsid w:val="00E10978"/>
    <w:rsid w:val="00E30061"/>
    <w:rsid w:val="00E51AB5"/>
    <w:rsid w:val="00ED2D47"/>
    <w:rsid w:val="00EE7F20"/>
    <w:rsid w:val="00EF4364"/>
    <w:rsid w:val="00F23DC3"/>
    <w:rsid w:val="00F81745"/>
    <w:rsid w:val="00FA529B"/>
    <w:rsid w:val="00FB06C0"/>
    <w:rsid w:val="4B788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582761143">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312443548">
      <w:bodyDiv w:val="1"/>
      <w:marLeft w:val="0"/>
      <w:marRight w:val="0"/>
      <w:marTop w:val="0"/>
      <w:marBottom w:val="0"/>
      <w:divBdr>
        <w:top w:val="none" w:sz="0" w:space="0" w:color="auto"/>
        <w:left w:val="none" w:sz="0" w:space="0" w:color="auto"/>
        <w:bottom w:val="none" w:sz="0" w:space="0" w:color="auto"/>
        <w:right w:val="none" w:sz="0" w:space="0" w:color="auto"/>
      </w:divBdr>
    </w:div>
    <w:div w:id="131453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fennemorelaw.com/insights/newsletters/2021/federal-return-filing-date-and-tax-payment-date-extended" TargetMode="External" Id="rId8" /><Relationship Type="http://schemas.openxmlformats.org/officeDocument/2006/relationships/settings" Target="settings.xml" Id="rId3" /><Relationship Type="http://schemas.openxmlformats.org/officeDocument/2006/relationships/hyperlink" Target="https://www.fennemorelaw.com/insights/newsletters/2021/arizona-department-of-revenue-extends-due-dates" TargetMode="Externa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header" Target="header2.xml" Id="rId10" /><Relationship Type="http://schemas.openxmlformats.org/officeDocument/2006/relationships/webSettings" Target="webSettings.xml" Id="rId4" /><Relationship Type="http://schemas.openxmlformats.org/officeDocument/2006/relationships/header" Target="header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15</revision>
  <lastPrinted>2021-03-19T19:03:00.0000000Z</lastPrinted>
  <dcterms:created xsi:type="dcterms:W3CDTF">2020-08-10T20:38:00.0000000Z</dcterms:created>
  <dcterms:modified xsi:type="dcterms:W3CDTF">2022-05-20T22:14:25.2088415Z</dcterms:modified>
</coreProperties>
</file>