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8700A0" w14:paraId="3E2643B7" w14:textId="77777777" w:rsidTr="008F5DD7">
        <w:trPr>
          <w:trHeight w:val="579"/>
        </w:trPr>
        <w:tc>
          <w:tcPr>
            <w:tcW w:w="10299" w:type="dxa"/>
          </w:tcPr>
          <w:p w14:paraId="612DB591" w14:textId="77777777" w:rsidR="004B0FA7" w:rsidRPr="004B0FA7" w:rsidRDefault="004B0FA7" w:rsidP="004B0FA7">
            <w:pPr>
              <w:pStyle w:val="BasicParagraph"/>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Anthony Austin is a prominent attorney in our financial restructuring, bankruptcy and creditors’ rights practice group, where he works on matters including collection and judgement work, breach of contract, partnership disputes and receiverships. He represents financial institutions, debtors, creditors, and trustees in all phases of complex litigation and restructuring transactions, including trials and appeals. As an experienced bankruptcy attorney, Anthony has a wide range of commercial litigation experience involving foreclosures, receiverships and guarantor litigation.</w:t>
            </w:r>
          </w:p>
          <w:p w14:paraId="319B716D" w14:textId="77777777" w:rsidR="004B0FA7" w:rsidRPr="004B0FA7" w:rsidRDefault="004B0FA7" w:rsidP="004B0FA7">
            <w:pPr>
              <w:pStyle w:val="BasicParagraph"/>
              <w:suppressAutoHyphens/>
              <w:spacing w:line="240" w:lineRule="auto"/>
              <w:rPr>
                <w:rFonts w:ascii="Century Gothic Light" w:hAnsi="Century Gothic Light" w:cs="Century Gothic Light"/>
                <w:color w:val="09223F"/>
                <w:sz w:val="22"/>
                <w:szCs w:val="22"/>
              </w:rPr>
            </w:pPr>
          </w:p>
          <w:p w14:paraId="335B3A6A" w14:textId="77777777" w:rsidR="004B0FA7" w:rsidRPr="004B0FA7" w:rsidRDefault="004B0FA7" w:rsidP="004B0FA7">
            <w:pPr>
              <w:pStyle w:val="BasicParagraph"/>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His experience as a bankruptcy attorney has him representing clients at trial and various types of hearings before the Bankruptcy Court, District Court, and Arizona Supreme Court. He is also adept at litigation matters involving the rapidly-evolving cannabis industry and partnered on a precedent-setting bankruptcy case involving marijuana investors and distributors.</w:t>
            </w:r>
          </w:p>
          <w:p w14:paraId="4DDCC9DA" w14:textId="77777777" w:rsidR="004B0FA7" w:rsidRPr="004B0FA7" w:rsidRDefault="004B0FA7" w:rsidP="004B0FA7">
            <w:pPr>
              <w:pStyle w:val="BasicParagraph"/>
              <w:suppressAutoHyphens/>
              <w:spacing w:line="240" w:lineRule="auto"/>
              <w:rPr>
                <w:rFonts w:ascii="Century Gothic Light" w:hAnsi="Century Gothic Light" w:cs="Century Gothic Light"/>
                <w:color w:val="09223F"/>
                <w:sz w:val="22"/>
                <w:szCs w:val="22"/>
              </w:rPr>
            </w:pPr>
          </w:p>
          <w:p w14:paraId="2A3885C4" w14:textId="77777777" w:rsidR="004B0FA7" w:rsidRPr="004B0FA7" w:rsidRDefault="004B0FA7" w:rsidP="004B0FA7">
            <w:pPr>
              <w:pStyle w:val="BasicParagraph"/>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Growing up near the O.K. Corral in Tombstone, Arizona, where his dad was a park ranger who helped open Kartchner Caverns to the public, Anthony has always had a great love for Arizona – and helping people – and knew from an early age he wanted to be a lawyer. These passions shape his view of his civil practice to this day where selling and merging companies really means saving jobs, keeping companies open, and maintaining the legacy of small business owners and their jobs that support hundreds of family members.</w:t>
            </w:r>
          </w:p>
          <w:p w14:paraId="55707450" w14:textId="77777777" w:rsidR="004B0FA7" w:rsidRPr="004B0FA7" w:rsidRDefault="004B0FA7" w:rsidP="004B0FA7">
            <w:pPr>
              <w:pStyle w:val="BasicParagraph"/>
              <w:suppressAutoHyphens/>
              <w:spacing w:line="240" w:lineRule="auto"/>
              <w:rPr>
                <w:rFonts w:ascii="Century Gothic Light" w:hAnsi="Century Gothic Light" w:cs="Century Gothic Light"/>
                <w:color w:val="09223F"/>
                <w:sz w:val="22"/>
                <w:szCs w:val="22"/>
              </w:rPr>
            </w:pPr>
          </w:p>
          <w:p w14:paraId="39C10D41" w14:textId="562AFF2C" w:rsidR="008700A0" w:rsidRDefault="004B0FA7" w:rsidP="004B0FA7">
            <w:r w:rsidRPr="004B0FA7">
              <w:rPr>
                <w:rFonts w:cs="Century Gothic Light"/>
                <w:color w:val="09223F"/>
              </w:rPr>
              <w:t>Outside his work as a debt attorney, Anthony loves spending time in the great outdoors with his wife and three kids, exploring and camping in areas like Prescott, Cottonwood, Show Low, the North Rim of the Grand Canyon and the Carlsbad Caverns. Although he is a lifelong Cubs fan and grew up listening to Harry Caray on WGN Radio, his love for baseball carried into the Southwest, and he now often enjoys a cold beer with a hot dog at Arizona Diamondbacks games.</w:t>
            </w:r>
          </w:p>
        </w:tc>
      </w:tr>
      <w:tr w:rsidR="008700A0" w14:paraId="7B190A89" w14:textId="77777777" w:rsidTr="008F5DD7">
        <w:trPr>
          <w:trHeight w:val="579"/>
        </w:trPr>
        <w:tc>
          <w:tcPr>
            <w:tcW w:w="10299" w:type="dxa"/>
          </w:tcPr>
          <w:p w14:paraId="5D0099CC" w14:textId="77777777" w:rsidR="008700A0" w:rsidRPr="00DC76B8" w:rsidRDefault="008700A0" w:rsidP="008700A0">
            <w:pPr>
              <w:pStyle w:val="BasicParagraph"/>
              <w:suppressAutoHyphens/>
              <w:spacing w:line="240" w:lineRule="auto"/>
              <w:rPr>
                <w:rFonts w:ascii="Century Gothic Light" w:hAnsi="Century Gothic Light" w:cs="Century Gothic Light"/>
                <w:color w:val="09223F"/>
                <w:sz w:val="32"/>
                <w:szCs w:val="32"/>
              </w:rPr>
            </w:pPr>
          </w:p>
        </w:tc>
      </w:tr>
      <w:tr w:rsidR="008700A0" w14:paraId="42185E66" w14:textId="77777777" w:rsidTr="004B0FA7">
        <w:trPr>
          <w:trHeight w:val="627"/>
        </w:trPr>
        <w:tc>
          <w:tcPr>
            <w:tcW w:w="10299" w:type="dxa"/>
          </w:tcPr>
          <w:p w14:paraId="0AB62B66" w14:textId="77777777" w:rsidR="008700A0" w:rsidRPr="00996259" w:rsidRDefault="008700A0" w:rsidP="008700A0">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14:paraId="19AA04B2"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 xml:space="preserve">J.D., </w:t>
            </w:r>
            <w:r w:rsidRPr="004B0FA7">
              <w:rPr>
                <w:rFonts w:ascii="Century Gothic Light" w:hAnsi="Century Gothic Light" w:cs="Century Gothic Light"/>
                <w:i/>
                <w:iCs/>
                <w:color w:val="09223F"/>
                <w:sz w:val="22"/>
                <w:szCs w:val="22"/>
              </w:rPr>
              <w:t>cum laude,</w:t>
            </w:r>
            <w:r w:rsidRPr="004B0FA7">
              <w:rPr>
                <w:rFonts w:ascii="Century Gothic Light" w:hAnsi="Century Gothic Light" w:cs="Century Gothic Light"/>
                <w:color w:val="09223F"/>
                <w:sz w:val="22"/>
                <w:szCs w:val="22"/>
              </w:rPr>
              <w:t xml:space="preserve"> University of Arizona, James E. Rogers College of Law</w:t>
            </w:r>
          </w:p>
          <w:p w14:paraId="2A82E72C"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 xml:space="preserve">B.S., </w:t>
            </w:r>
            <w:r w:rsidRPr="004B0FA7">
              <w:rPr>
                <w:rFonts w:ascii="Century Gothic Light" w:hAnsi="Century Gothic Light" w:cs="Century Gothic Light"/>
                <w:i/>
                <w:iCs/>
                <w:color w:val="09223F"/>
                <w:sz w:val="22"/>
                <w:szCs w:val="22"/>
              </w:rPr>
              <w:t>summa cum laude,</w:t>
            </w:r>
            <w:r w:rsidRPr="004B0FA7">
              <w:rPr>
                <w:rFonts w:ascii="Century Gothic Light" w:hAnsi="Century Gothic Light" w:cs="Century Gothic Light"/>
                <w:color w:val="09223F"/>
                <w:sz w:val="22"/>
                <w:szCs w:val="22"/>
              </w:rPr>
              <w:t xml:space="preserve"> Political Science, Northern Arizona University</w:t>
            </w:r>
          </w:p>
          <w:p w14:paraId="7AEB59E6"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 xml:space="preserve">Staff Writer, </w:t>
            </w:r>
            <w:r w:rsidRPr="004B0FA7">
              <w:rPr>
                <w:rFonts w:ascii="Century Gothic Light" w:hAnsi="Century Gothic Light" w:cs="Century Gothic Light"/>
                <w:i/>
                <w:iCs/>
                <w:color w:val="09223F"/>
                <w:sz w:val="22"/>
                <w:szCs w:val="22"/>
              </w:rPr>
              <w:t>Arizona Law Review,</w:t>
            </w:r>
            <w:r w:rsidRPr="004B0FA7">
              <w:rPr>
                <w:rFonts w:ascii="Century Gothic Light" w:hAnsi="Century Gothic Light" w:cs="Century Gothic Light"/>
                <w:color w:val="09223F"/>
                <w:sz w:val="22"/>
                <w:szCs w:val="22"/>
              </w:rPr>
              <w:t xml:space="preserve"> 2005-2007</w:t>
            </w:r>
          </w:p>
          <w:p w14:paraId="31E4C15E"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Law Clerk, Pima County Attorney's Office, Criminal Division, 2005-2006</w:t>
            </w:r>
          </w:p>
          <w:p w14:paraId="3BF85D19" w14:textId="2FDB13E2" w:rsidR="00AB20C4" w:rsidRPr="005501CE"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Extern, The Hon. David C. Bury, U.S. District Court, District of Arizona, Fall 2005</w:t>
            </w:r>
          </w:p>
        </w:tc>
      </w:tr>
      <w:tr w:rsidR="00DE4410" w14:paraId="5AA1B251" w14:textId="77777777" w:rsidTr="008F5DD7">
        <w:trPr>
          <w:trHeight w:val="288"/>
        </w:trPr>
        <w:tc>
          <w:tcPr>
            <w:tcW w:w="10299" w:type="dxa"/>
          </w:tcPr>
          <w:p w14:paraId="57BF22AA" w14:textId="77777777" w:rsidR="00DE4410" w:rsidRPr="008F5DD7" w:rsidRDefault="00DE4410" w:rsidP="008700A0">
            <w:pPr>
              <w:pStyle w:val="BasicParagraph"/>
              <w:rPr>
                <w:rFonts w:ascii="Century Gothic Light" w:hAnsi="Century Gothic Light" w:cs="Century Gothic Light"/>
                <w:caps/>
                <w:color w:val="F5821F"/>
                <w:szCs w:val="28"/>
              </w:rPr>
            </w:pPr>
          </w:p>
        </w:tc>
      </w:tr>
      <w:tr w:rsidR="00996259" w14:paraId="26225FC7" w14:textId="77777777" w:rsidTr="008F5DD7">
        <w:trPr>
          <w:trHeight w:val="720"/>
        </w:trPr>
        <w:tc>
          <w:tcPr>
            <w:tcW w:w="10299" w:type="dxa"/>
          </w:tcPr>
          <w:p w14:paraId="3BEA527C"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3"/>
            </w:tblGrid>
            <w:tr w:rsidR="004B0FA7" w14:paraId="2FD63DE2" w14:textId="77777777" w:rsidTr="00763C7C">
              <w:tc>
                <w:tcPr>
                  <w:tcW w:w="10073" w:type="dxa"/>
                </w:tcPr>
                <w:p w14:paraId="1BA5DCB0" w14:textId="45101CA3" w:rsidR="004B0FA7" w:rsidRDefault="004B0FA7" w:rsidP="00C14CDD">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Finance</w:t>
                  </w:r>
                </w:p>
                <w:p w14:paraId="162764BF" w14:textId="69A05ACD" w:rsidR="004B0FA7" w:rsidRDefault="004B0FA7" w:rsidP="00C14CDD">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Financial Restructuring, Bankruptcy and Creditors’ Rights</w:t>
                  </w:r>
                </w:p>
                <w:p w14:paraId="22A85BCB" w14:textId="191D2F8B" w:rsidR="004B0FA7" w:rsidRPr="00DE4410" w:rsidRDefault="004B0FA7" w:rsidP="00C14CDD">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tc>
            </w:tr>
          </w:tbl>
          <w:p w14:paraId="4910D759" w14:textId="77777777" w:rsidR="00996259" w:rsidRDefault="00996259" w:rsidP="008700A0">
            <w:pPr>
              <w:pStyle w:val="BasicParagraph"/>
              <w:rPr>
                <w:rFonts w:ascii="Century Gothic Light" w:hAnsi="Century Gothic Light" w:cs="Century Gothic Light"/>
                <w:caps/>
                <w:color w:val="F5821F"/>
                <w:sz w:val="32"/>
                <w:szCs w:val="32"/>
              </w:rPr>
            </w:pPr>
          </w:p>
        </w:tc>
      </w:tr>
      <w:tr w:rsidR="00D3611B" w14:paraId="3501DA35" w14:textId="77777777" w:rsidTr="008F5DD7">
        <w:trPr>
          <w:trHeight w:val="288"/>
        </w:trPr>
        <w:tc>
          <w:tcPr>
            <w:tcW w:w="10299" w:type="dxa"/>
          </w:tcPr>
          <w:p w14:paraId="29BF8FF1" w14:textId="77777777" w:rsidR="00D3611B" w:rsidRPr="00A44AD9" w:rsidRDefault="00D3611B" w:rsidP="00996259">
            <w:pPr>
              <w:pStyle w:val="BasicParagraph"/>
              <w:rPr>
                <w:rFonts w:ascii="Century Gothic Light" w:hAnsi="Century Gothic Light" w:cs="Century Gothic Light"/>
                <w:caps/>
                <w:color w:val="F5821F"/>
                <w:szCs w:val="32"/>
              </w:rPr>
            </w:pPr>
          </w:p>
        </w:tc>
      </w:tr>
      <w:tr w:rsidR="00D3611B" w14:paraId="6F85DC65" w14:textId="77777777" w:rsidTr="008F5DD7">
        <w:trPr>
          <w:trHeight w:val="288"/>
        </w:trPr>
        <w:tc>
          <w:tcPr>
            <w:tcW w:w="10299" w:type="dxa"/>
          </w:tcPr>
          <w:p w14:paraId="765D43C1" w14:textId="31041645" w:rsidR="00D3611B" w:rsidRPr="00996259" w:rsidRDefault="00D3611B" w:rsidP="00D3611B">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14:paraId="233D8284" w14:textId="4A8F0B50"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4B0FA7">
              <w:rPr>
                <w:rFonts w:ascii="Century Gothic Light" w:hAnsi="Century Gothic Light" w:cs="Century Gothic Light"/>
                <w:i/>
                <w:iCs/>
                <w:color w:val="09223F"/>
                <w:sz w:val="22"/>
                <w:szCs w:val="22"/>
              </w:rPr>
              <w:t>Best Lawyers in America</w:t>
            </w:r>
            <w:r w:rsidRPr="004B0FA7">
              <w:rPr>
                <w:rFonts w:ascii="Century Gothic Light" w:hAnsi="Century Gothic Light" w:cs="Century Gothic Light"/>
                <w:i/>
                <w:iCs/>
                <w:color w:val="09223F"/>
                <w:sz w:val="22"/>
                <w:szCs w:val="22"/>
                <w:vertAlign w:val="superscript"/>
              </w:rPr>
              <w:t>®</w:t>
            </w:r>
            <w:r w:rsidRPr="004B0FA7">
              <w:rPr>
                <w:rFonts w:ascii="Century Gothic Light" w:hAnsi="Century Gothic Light" w:cs="Century Gothic Light"/>
                <w:i/>
                <w:iCs/>
                <w:color w:val="09223F"/>
                <w:sz w:val="22"/>
                <w:szCs w:val="22"/>
              </w:rPr>
              <w:t xml:space="preserve">, </w:t>
            </w:r>
            <w:r w:rsidRPr="004B0FA7">
              <w:rPr>
                <w:rFonts w:ascii="Century Gothic Light" w:hAnsi="Century Gothic Light" w:cs="Century Gothic Light"/>
                <w:color w:val="09223F"/>
                <w:sz w:val="22"/>
                <w:szCs w:val="22"/>
              </w:rPr>
              <w:t>Bankruptcy and Creditor Debtor Rights / Insolvency and Reorganization Law, 2019-202</w:t>
            </w:r>
            <w:r w:rsidR="00845271">
              <w:rPr>
                <w:rFonts w:ascii="Century Gothic Light" w:hAnsi="Century Gothic Light" w:cs="Century Gothic Light"/>
                <w:color w:val="09223F"/>
                <w:sz w:val="22"/>
                <w:szCs w:val="22"/>
              </w:rPr>
              <w:t>2</w:t>
            </w:r>
          </w:p>
          <w:p w14:paraId="09C4CB03" w14:textId="2F031F54"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i/>
                <w:iCs/>
                <w:color w:val="09223F"/>
                <w:sz w:val="22"/>
                <w:szCs w:val="22"/>
              </w:rPr>
              <w:t>Southwest Rising Stars</w:t>
            </w:r>
            <w:r w:rsidRPr="004B0FA7">
              <w:rPr>
                <w:rFonts w:ascii="Century Gothic Light" w:hAnsi="Century Gothic Light" w:cs="Century Gothic Light"/>
                <w:i/>
                <w:iCs/>
                <w:color w:val="09223F"/>
                <w:sz w:val="22"/>
                <w:szCs w:val="22"/>
                <w:vertAlign w:val="superscript"/>
              </w:rPr>
              <w:t>®</w:t>
            </w:r>
            <w:r w:rsidRPr="004B0FA7">
              <w:rPr>
                <w:rFonts w:ascii="Century Gothic Light" w:hAnsi="Century Gothic Light" w:cs="Century Gothic Light"/>
                <w:i/>
                <w:iCs/>
                <w:color w:val="09223F"/>
                <w:sz w:val="22"/>
                <w:szCs w:val="22"/>
              </w:rPr>
              <w:t xml:space="preserve">, </w:t>
            </w:r>
            <w:r w:rsidRPr="004B0FA7">
              <w:rPr>
                <w:rFonts w:ascii="Century Gothic Light" w:hAnsi="Century Gothic Light" w:cs="Century Gothic Light"/>
                <w:color w:val="09223F"/>
                <w:sz w:val="22"/>
                <w:szCs w:val="22"/>
              </w:rPr>
              <w:t>Creditor/Debtor Rights, 2015-202</w:t>
            </w:r>
            <w:r w:rsidR="00EA57DE">
              <w:rPr>
                <w:rFonts w:ascii="Century Gothic Light" w:hAnsi="Century Gothic Light" w:cs="Century Gothic Light"/>
                <w:color w:val="09223F"/>
                <w:sz w:val="22"/>
                <w:szCs w:val="22"/>
              </w:rPr>
              <w:t>1</w:t>
            </w:r>
          </w:p>
          <w:p w14:paraId="1C46F126"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Emerging Leaders Award, M&amp;A Advisors, 2018</w:t>
            </w:r>
          </w:p>
          <w:p w14:paraId="5EDD6C05" w14:textId="4D8256C0" w:rsidR="00D3611B" w:rsidRPr="00D3611B" w:rsidRDefault="00D3611B"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3611B">
              <w:rPr>
                <w:rFonts w:ascii="Century Gothic Light" w:hAnsi="Century Gothic Light" w:cs="Century Gothic Light"/>
                <w:color w:val="09223F"/>
                <w:sz w:val="22"/>
                <w:szCs w:val="22"/>
              </w:rPr>
              <w:t>AV</w:t>
            </w:r>
            <w:r w:rsidRPr="00D3611B">
              <w:rPr>
                <w:rFonts w:ascii="Century Gothic Light" w:hAnsi="Century Gothic Light" w:cs="Century Gothic Light"/>
                <w:color w:val="09223F"/>
                <w:sz w:val="22"/>
                <w:szCs w:val="22"/>
                <w:vertAlign w:val="superscript"/>
              </w:rPr>
              <w:t>®</w:t>
            </w:r>
            <w:r w:rsidRPr="00D3611B">
              <w:rPr>
                <w:rFonts w:ascii="Century Gothic Light" w:hAnsi="Century Gothic Light" w:cs="Century Gothic Light"/>
                <w:color w:val="09223F"/>
                <w:sz w:val="22"/>
                <w:szCs w:val="22"/>
              </w:rPr>
              <w:t xml:space="preserve"> Preeminent™ Peer Review Rated (the highest rating available), by Martindale-Hubbell</w:t>
            </w:r>
          </w:p>
        </w:tc>
      </w:tr>
      <w:tr w:rsidR="005501CE" w14:paraId="47FA36BC" w14:textId="77777777" w:rsidTr="008F5DD7">
        <w:trPr>
          <w:trHeight w:val="288"/>
        </w:trPr>
        <w:tc>
          <w:tcPr>
            <w:tcW w:w="10299" w:type="dxa"/>
          </w:tcPr>
          <w:p w14:paraId="31DEB609" w14:textId="77777777" w:rsidR="005501CE" w:rsidRPr="008F5DD7" w:rsidRDefault="005501CE" w:rsidP="00996259">
            <w:pPr>
              <w:pStyle w:val="BasicParagraph"/>
              <w:rPr>
                <w:rFonts w:ascii="Century Gothic Light" w:hAnsi="Century Gothic Light" w:cs="Century Gothic Light"/>
                <w:caps/>
                <w:color w:val="F5821F"/>
                <w:szCs w:val="28"/>
              </w:rPr>
            </w:pPr>
          </w:p>
        </w:tc>
      </w:tr>
      <w:tr w:rsidR="004B0FA7" w14:paraId="54F04C78" w14:textId="77777777" w:rsidTr="008F5DD7">
        <w:trPr>
          <w:trHeight w:val="288"/>
        </w:trPr>
        <w:tc>
          <w:tcPr>
            <w:tcW w:w="10299" w:type="dxa"/>
          </w:tcPr>
          <w:p w14:paraId="7521875B" w14:textId="66CF2D4A" w:rsidR="004B0FA7" w:rsidRPr="00996259" w:rsidRDefault="004B0FA7" w:rsidP="004B0FA7">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14:paraId="42436187" w14:textId="5207BA44" w:rsidR="00C14CDD" w:rsidRPr="00C14CDD" w:rsidRDefault="00C14CDD" w:rsidP="00C14CDD">
            <w:pPr>
              <w:pStyle w:val="ListParagraph"/>
              <w:numPr>
                <w:ilvl w:val="0"/>
                <w:numId w:val="1"/>
              </w:numPr>
              <w:rPr>
                <w:rFonts w:cs="Century Gothic Light"/>
                <w:color w:val="09223F"/>
              </w:rPr>
            </w:pPr>
            <w:r>
              <w:rPr>
                <w:rFonts w:cs="Century Gothic Light"/>
                <w:color w:val="09223F"/>
              </w:rPr>
              <w:t xml:space="preserve">Quoted, “Supplement Co. Inks 1.7M Deal Ending Toxic Drink Claims, </w:t>
            </w:r>
            <w:r w:rsidRPr="00C14CDD">
              <w:rPr>
                <w:rFonts w:cs="Century Gothic Light"/>
                <w:i/>
                <w:iCs/>
                <w:color w:val="09223F"/>
              </w:rPr>
              <w:t>Law360</w:t>
            </w:r>
            <w:r>
              <w:rPr>
                <w:rFonts w:cs="Century Gothic Light"/>
                <w:color w:val="09223F"/>
              </w:rPr>
              <w:t>, January 12, 2022</w:t>
            </w:r>
          </w:p>
          <w:p w14:paraId="638A83E2" w14:textId="5AD5419F" w:rsidR="00845271" w:rsidRPr="00845271" w:rsidRDefault="00845271" w:rsidP="00845271">
            <w:pPr>
              <w:pStyle w:val="ListParagraph"/>
              <w:numPr>
                <w:ilvl w:val="0"/>
                <w:numId w:val="1"/>
              </w:numPr>
              <w:rPr>
                <w:rFonts w:cs="Century Gothic Light"/>
                <w:color w:val="09223F"/>
              </w:rPr>
            </w:pPr>
            <w:r w:rsidRPr="00845271">
              <w:rPr>
                <w:rFonts w:cs="Century Gothic Light"/>
                <w:color w:val="09223F"/>
              </w:rPr>
              <w:t xml:space="preserve">Author, "The Anticipated Tsunami of Commercial Bankruptcies Has Not Happened – Here’s Why," </w:t>
            </w:r>
            <w:proofErr w:type="spellStart"/>
            <w:r w:rsidRPr="00845271">
              <w:rPr>
                <w:rFonts w:cs="Century Gothic Light"/>
                <w:color w:val="09223F"/>
              </w:rPr>
              <w:t>inBusiness</w:t>
            </w:r>
            <w:proofErr w:type="spellEnd"/>
            <w:r w:rsidRPr="00845271">
              <w:rPr>
                <w:rFonts w:cs="Century Gothic Light"/>
                <w:color w:val="09223F"/>
              </w:rPr>
              <w:t>, August 22, 202</w:t>
            </w:r>
            <w:r>
              <w:rPr>
                <w:rFonts w:cs="Century Gothic Light"/>
                <w:color w:val="09223F"/>
              </w:rPr>
              <w:t>2</w:t>
            </w:r>
          </w:p>
          <w:p w14:paraId="71F7AEAF" w14:textId="31FD7551" w:rsidR="00E042E7" w:rsidRPr="00E042E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Co-author, "Tenant Defaults and Bankruptcies," Fennemore Client Alert, May 27, 2020</w:t>
            </w:r>
          </w:p>
          <w:p w14:paraId="45F553FA" w14:textId="77777777" w:rsidR="00E042E7" w:rsidRPr="00E042E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Author, "The CARES Act - Amendments to the Small Business Reorganization Act," Fennemore Client Alert, March 31, 2020</w:t>
            </w:r>
          </w:p>
          <w:p w14:paraId="6FA386F1" w14:textId="77777777" w:rsidR="00E042E7" w:rsidRPr="00E042E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Co-author, "Effects of Trademark Licenses in Bankruptcy," Fennemore Client Alert, March 20,2020</w:t>
            </w:r>
          </w:p>
          <w:p w14:paraId="6F7CC5AE" w14:textId="77777777" w:rsidR="00E042E7" w:rsidRPr="00E042E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 xml:space="preserve">Co-author, "The Evolving Demand for Retail Spaces," </w:t>
            </w:r>
            <w:r w:rsidRPr="00E042E7">
              <w:rPr>
                <w:rFonts w:ascii="Century Gothic Light" w:hAnsi="Century Gothic Light" w:cs="Century Gothic Light"/>
                <w:i/>
                <w:iCs/>
                <w:color w:val="09223F"/>
                <w:sz w:val="22"/>
                <w:szCs w:val="22"/>
              </w:rPr>
              <w:t>Commercial Property Executive</w:t>
            </w:r>
            <w:r w:rsidRPr="00E042E7">
              <w:rPr>
                <w:rFonts w:ascii="Century Gothic Light" w:hAnsi="Century Gothic Light" w:cs="Century Gothic Light"/>
                <w:color w:val="09223F"/>
                <w:sz w:val="22"/>
                <w:szCs w:val="22"/>
              </w:rPr>
              <w:t>, February 4, 2019</w:t>
            </w:r>
          </w:p>
          <w:p w14:paraId="20B8A76A" w14:textId="77777777" w:rsidR="00E042E7" w:rsidRPr="00E042E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Speaker, "Imagine the (Bankruptcy) Possibilities," State Bar of Arizona 2018 Annual Convention, June 29, 2018</w:t>
            </w:r>
          </w:p>
          <w:p w14:paraId="66FB4314" w14:textId="77777777" w:rsidR="00E042E7" w:rsidRPr="00E042E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Speaker, "Ethics Issues for the 21st Century Lawyer," State Bar of Arizona, June 15, 2018</w:t>
            </w:r>
          </w:p>
          <w:p w14:paraId="50495199" w14:textId="77777777" w:rsidR="00E042E7" w:rsidRPr="00E042E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Speaker, "Dinner in Distress: Challenges and Solutions for the Restaurant Industry," Turnaround Management Association, Arizona Chapter, April 24, 2018</w:t>
            </w:r>
          </w:p>
          <w:p w14:paraId="27CC33AC" w14:textId="77777777" w:rsidR="00E042E7" w:rsidRPr="00E042E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Author, "Feedback: November 2017,"</w:t>
            </w:r>
            <w:r w:rsidRPr="00E042E7">
              <w:rPr>
                <w:rFonts w:ascii="Century Gothic Light" w:hAnsi="Century Gothic Light" w:cs="Century Gothic Light"/>
                <w:i/>
                <w:iCs/>
                <w:color w:val="09223F"/>
                <w:sz w:val="22"/>
                <w:szCs w:val="22"/>
              </w:rPr>
              <w:t xml:space="preserve"> </w:t>
            </w:r>
            <w:proofErr w:type="spellStart"/>
            <w:r w:rsidRPr="00E042E7">
              <w:rPr>
                <w:rFonts w:ascii="Century Gothic Light" w:hAnsi="Century Gothic Light" w:cs="Century Gothic Light"/>
                <w:i/>
                <w:iCs/>
                <w:color w:val="09223F"/>
                <w:sz w:val="22"/>
                <w:szCs w:val="22"/>
              </w:rPr>
              <w:t>InBusiness</w:t>
            </w:r>
            <w:proofErr w:type="spellEnd"/>
            <w:r w:rsidRPr="00E042E7">
              <w:rPr>
                <w:rFonts w:ascii="Century Gothic Light" w:hAnsi="Century Gothic Light" w:cs="Century Gothic Light"/>
                <w:color w:val="09223F"/>
                <w:sz w:val="22"/>
                <w:szCs w:val="22"/>
              </w:rPr>
              <w:t>, November 1, 2017</w:t>
            </w:r>
          </w:p>
          <w:p w14:paraId="5FE72633" w14:textId="77777777" w:rsidR="00E042E7" w:rsidRPr="00E042E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Moderator, "Technology in the Courtroom," 25th Annual Southwest Bankruptcy Conference, September 8, 2017</w:t>
            </w:r>
          </w:p>
          <w:p w14:paraId="0F83F8E6" w14:textId="41B14EC4" w:rsidR="004B0FA7" w:rsidRPr="004B0FA7" w:rsidRDefault="00E042E7" w:rsidP="00E042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042E7">
              <w:rPr>
                <w:rFonts w:ascii="Century Gothic Light" w:hAnsi="Century Gothic Light" w:cs="Century Gothic Light"/>
                <w:color w:val="09223F"/>
                <w:sz w:val="22"/>
                <w:szCs w:val="22"/>
              </w:rPr>
              <w:t>Co-author, "U.S. v. McIntosh - New Ninth Circuit Case," Fennemore Client Alert, August 22, 2016</w:t>
            </w:r>
          </w:p>
        </w:tc>
      </w:tr>
      <w:tr w:rsidR="004B0FA7" w14:paraId="7264444D" w14:textId="77777777" w:rsidTr="008F5DD7">
        <w:trPr>
          <w:trHeight w:val="288"/>
        </w:trPr>
        <w:tc>
          <w:tcPr>
            <w:tcW w:w="10299" w:type="dxa"/>
          </w:tcPr>
          <w:p w14:paraId="59963461" w14:textId="77777777" w:rsidR="004B0FA7" w:rsidRPr="008F5DD7" w:rsidRDefault="004B0FA7" w:rsidP="00996259">
            <w:pPr>
              <w:pStyle w:val="BasicParagraph"/>
              <w:rPr>
                <w:rFonts w:ascii="Century Gothic Light" w:hAnsi="Century Gothic Light" w:cs="Century Gothic Light"/>
                <w:caps/>
                <w:color w:val="F5821F"/>
                <w:szCs w:val="28"/>
              </w:rPr>
            </w:pPr>
          </w:p>
        </w:tc>
      </w:tr>
      <w:tr w:rsidR="00996259" w14:paraId="0BA99737" w14:textId="77777777" w:rsidTr="008F5DD7">
        <w:trPr>
          <w:trHeight w:val="576"/>
        </w:trPr>
        <w:tc>
          <w:tcPr>
            <w:tcW w:w="10299" w:type="dxa"/>
          </w:tcPr>
          <w:p w14:paraId="210A75EF"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professional and community activities</w:t>
            </w:r>
          </w:p>
          <w:p w14:paraId="66927D6B" w14:textId="77777777" w:rsidR="005A7327" w:rsidRPr="005A7327" w:rsidRDefault="005A7327" w:rsidP="005A732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A7327">
              <w:rPr>
                <w:rFonts w:ascii="Century Gothic Light" w:hAnsi="Century Gothic Light" w:cs="Century Gothic Light"/>
                <w:color w:val="09223F"/>
                <w:sz w:val="22"/>
                <w:szCs w:val="22"/>
              </w:rPr>
              <w:t>Board Member, Habitat for Humanity of Central Arizona</w:t>
            </w:r>
          </w:p>
          <w:p w14:paraId="49B7094D"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Member, State Bar of Arizona</w:t>
            </w:r>
          </w:p>
          <w:p w14:paraId="0DECB22E"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Member, Maricopa County Bar Association</w:t>
            </w:r>
          </w:p>
          <w:p w14:paraId="4C7C5511"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Trustee, Maricopa County Bar Foundation</w:t>
            </w:r>
          </w:p>
          <w:p w14:paraId="58D85C85"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Member, State Bar of Nevada</w:t>
            </w:r>
          </w:p>
          <w:p w14:paraId="7F623101"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Member, American Bankruptcy Institute</w:t>
            </w:r>
          </w:p>
          <w:p w14:paraId="74FEF9A2"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Member, Arizona Bankruptcy American Inn of Court</w:t>
            </w:r>
          </w:p>
          <w:p w14:paraId="74BBA8DF"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Planning Committee, Turnaround Management Association</w:t>
            </w:r>
          </w:p>
          <w:p w14:paraId="5E4A57F0"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Immediate Past Chair, Bankruptcy Section, State Bar of Arizona</w:t>
            </w:r>
          </w:p>
          <w:p w14:paraId="4E5E1DC9" w14:textId="651C85CD" w:rsidR="00996259" w:rsidRPr="00D3611B"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 xml:space="preserve">Immediate Past President, </w:t>
            </w:r>
            <w:proofErr w:type="spellStart"/>
            <w:r w:rsidRPr="004B0FA7">
              <w:rPr>
                <w:rFonts w:ascii="Century Gothic Light" w:hAnsi="Century Gothic Light" w:cs="Century Gothic Light"/>
                <w:color w:val="09223F"/>
                <w:sz w:val="22"/>
                <w:szCs w:val="22"/>
              </w:rPr>
              <w:t>NPH</w:t>
            </w:r>
            <w:proofErr w:type="spellEnd"/>
            <w:r w:rsidRPr="004B0FA7">
              <w:rPr>
                <w:rFonts w:ascii="Century Gothic Light" w:hAnsi="Century Gothic Light" w:cs="Century Gothic Light"/>
                <w:color w:val="09223F"/>
                <w:sz w:val="22"/>
                <w:szCs w:val="22"/>
              </w:rPr>
              <w:t xml:space="preserve"> USA Southwest Region</w:t>
            </w:r>
          </w:p>
        </w:tc>
      </w:tr>
      <w:tr w:rsidR="00996259" w14:paraId="1652D173" w14:textId="77777777" w:rsidTr="008F5DD7">
        <w:trPr>
          <w:trHeight w:val="288"/>
        </w:trPr>
        <w:tc>
          <w:tcPr>
            <w:tcW w:w="10299" w:type="dxa"/>
          </w:tcPr>
          <w:p w14:paraId="041AE1BD" w14:textId="77777777" w:rsidR="00996259" w:rsidRPr="00D61E32" w:rsidRDefault="00996259" w:rsidP="00996259">
            <w:pPr>
              <w:pStyle w:val="BasicParagraph"/>
              <w:rPr>
                <w:rFonts w:ascii="Century Gothic Light" w:hAnsi="Century Gothic Light" w:cs="Century Gothic Light"/>
                <w:caps/>
                <w:color w:val="F5821F"/>
                <w:szCs w:val="36"/>
              </w:rPr>
            </w:pPr>
          </w:p>
        </w:tc>
      </w:tr>
      <w:tr w:rsidR="00996259" w14:paraId="37A27DBA" w14:textId="77777777" w:rsidTr="008F5DD7">
        <w:trPr>
          <w:trHeight w:val="195"/>
        </w:trPr>
        <w:tc>
          <w:tcPr>
            <w:tcW w:w="10299" w:type="dxa"/>
          </w:tcPr>
          <w:p w14:paraId="0239EEB1"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14:paraId="4F2C8503"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Arizona</w:t>
            </w:r>
          </w:p>
          <w:p w14:paraId="79F7AF3C"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Nevada</w:t>
            </w:r>
          </w:p>
          <w:p w14:paraId="2E0A8743" w14:textId="77777777" w:rsidR="004B0FA7" w:rsidRPr="004B0FA7"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U.S. District Court, District of Arizona</w:t>
            </w:r>
          </w:p>
          <w:p w14:paraId="044073AE" w14:textId="64F3CF8F" w:rsidR="005501CE" w:rsidRPr="00D3611B" w:rsidRDefault="004B0FA7" w:rsidP="004B0FA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FA7">
              <w:rPr>
                <w:rFonts w:ascii="Century Gothic Light" w:hAnsi="Century Gothic Light" w:cs="Century Gothic Light"/>
                <w:color w:val="09223F"/>
                <w:sz w:val="22"/>
                <w:szCs w:val="22"/>
              </w:rPr>
              <w:t>U.S. District Court, District of Nevada</w:t>
            </w:r>
          </w:p>
        </w:tc>
      </w:tr>
    </w:tbl>
    <w:p w14:paraId="6FBE2627" w14:textId="77777777" w:rsidR="008700A0" w:rsidRDefault="008700A0" w:rsidP="008700A0"/>
    <w:sectPr w:rsidR="008700A0" w:rsidSect="00FB06C0">
      <w:headerReference w:type="default" r:id="rId7"/>
      <w:headerReference w:type="first" r:id="rId8"/>
      <w:pgSz w:w="12240" w:h="15840"/>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F186A" w14:textId="77777777" w:rsidR="000F6ED3" w:rsidRDefault="000F6ED3" w:rsidP="008700A0">
      <w:pPr>
        <w:spacing w:after="0" w:line="240" w:lineRule="auto"/>
      </w:pPr>
      <w:r>
        <w:separator/>
      </w:r>
    </w:p>
  </w:endnote>
  <w:endnote w:type="continuationSeparator" w:id="0">
    <w:p w14:paraId="2DC161BB" w14:textId="77777777" w:rsidR="000F6ED3" w:rsidRDefault="000F6ED3" w:rsidP="008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11F39" w14:textId="77777777" w:rsidR="000F6ED3" w:rsidRDefault="000F6ED3" w:rsidP="008700A0">
      <w:pPr>
        <w:spacing w:after="0" w:line="240" w:lineRule="auto"/>
      </w:pPr>
      <w:r>
        <w:separator/>
      </w:r>
    </w:p>
  </w:footnote>
  <w:footnote w:type="continuationSeparator" w:id="0">
    <w:p w14:paraId="5FE4FD38" w14:textId="77777777" w:rsidR="000F6ED3" w:rsidRDefault="000F6ED3" w:rsidP="0087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9623" w14:textId="77777777" w:rsidR="008700A0" w:rsidRDefault="008700A0">
    <w:pPr>
      <w:pStyle w:val="Header"/>
    </w:pPr>
    <w:r>
      <w:rPr>
        <w:noProof/>
      </w:rPr>
      <w:drawing>
        <wp:anchor distT="0" distB="0" distL="114300" distR="114300" simplePos="0" relativeHeight="251659264" behindDoc="1" locked="0" layoutInCell="1" allowOverlap="1" wp14:anchorId="575A1DE1" wp14:editId="3ED318A0">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34CC" w14:textId="77777777" w:rsidR="008700A0" w:rsidRDefault="008700A0">
    <w:pPr>
      <w:pStyle w:val="Header"/>
    </w:pPr>
    <w:r>
      <w:rPr>
        <w:noProof/>
      </w:rPr>
      <w:drawing>
        <wp:anchor distT="0" distB="0" distL="114300" distR="114300" simplePos="0" relativeHeight="251658240" behindDoc="1" locked="0" layoutInCell="1" allowOverlap="1" wp14:anchorId="26867CE0" wp14:editId="21B38C65">
          <wp:simplePos x="0" y="0"/>
          <wp:positionH relativeFrom="margin">
            <wp:posOffset>-457200</wp:posOffset>
          </wp:positionH>
          <wp:positionV relativeFrom="margin">
            <wp:posOffset>-466725</wp:posOffset>
          </wp:positionV>
          <wp:extent cx="7772361" cy="10058348"/>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61" cy="100583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B77F5"/>
    <w:multiLevelType w:val="multilevel"/>
    <w:tmpl w:val="867A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70967"/>
    <w:multiLevelType w:val="hybridMultilevel"/>
    <w:tmpl w:val="D99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30ADE"/>
    <w:multiLevelType w:val="multilevel"/>
    <w:tmpl w:val="37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F22FA"/>
    <w:multiLevelType w:val="hybridMultilevel"/>
    <w:tmpl w:val="162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587FDD"/>
    <w:multiLevelType w:val="multilevel"/>
    <w:tmpl w:val="0676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10C05"/>
    <w:multiLevelType w:val="multilevel"/>
    <w:tmpl w:val="94AC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C0FEB"/>
    <w:multiLevelType w:val="multilevel"/>
    <w:tmpl w:val="A0EE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EF590F"/>
    <w:multiLevelType w:val="multilevel"/>
    <w:tmpl w:val="DA64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C3957"/>
    <w:multiLevelType w:val="multilevel"/>
    <w:tmpl w:val="03E0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0D63C0"/>
    <w:multiLevelType w:val="hybridMultilevel"/>
    <w:tmpl w:val="F15271C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0" w15:restartNumberingAfterBreak="0">
    <w:nsid w:val="56792F5D"/>
    <w:multiLevelType w:val="multilevel"/>
    <w:tmpl w:val="A4B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437553"/>
    <w:multiLevelType w:val="multilevel"/>
    <w:tmpl w:val="7220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D47CE0"/>
    <w:multiLevelType w:val="multilevel"/>
    <w:tmpl w:val="D7D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AE4FFE"/>
    <w:multiLevelType w:val="hybridMultilevel"/>
    <w:tmpl w:val="73D8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5B75DF"/>
    <w:multiLevelType w:val="multilevel"/>
    <w:tmpl w:val="9900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134E01"/>
    <w:multiLevelType w:val="multilevel"/>
    <w:tmpl w:val="9CC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F53521"/>
    <w:multiLevelType w:val="multilevel"/>
    <w:tmpl w:val="045E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9"/>
  </w:num>
  <w:num w:numId="4">
    <w:abstractNumId w:val="1"/>
  </w:num>
  <w:num w:numId="5">
    <w:abstractNumId w:val="2"/>
  </w:num>
  <w:num w:numId="6">
    <w:abstractNumId w:val="11"/>
  </w:num>
  <w:num w:numId="7">
    <w:abstractNumId w:val="10"/>
  </w:num>
  <w:num w:numId="8">
    <w:abstractNumId w:val="8"/>
  </w:num>
  <w:num w:numId="9">
    <w:abstractNumId w:val="4"/>
  </w:num>
  <w:num w:numId="10">
    <w:abstractNumId w:val="6"/>
  </w:num>
  <w:num w:numId="11">
    <w:abstractNumId w:val="12"/>
  </w:num>
  <w:num w:numId="12">
    <w:abstractNumId w:val="5"/>
  </w:num>
  <w:num w:numId="13">
    <w:abstractNumId w:val="0"/>
  </w:num>
  <w:num w:numId="14">
    <w:abstractNumId w:val="14"/>
  </w:num>
  <w:num w:numId="15">
    <w:abstractNumId w:val="15"/>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546DA"/>
    <w:rsid w:val="000B29E6"/>
    <w:rsid w:val="000F6ED3"/>
    <w:rsid w:val="001138EA"/>
    <w:rsid w:val="0013493F"/>
    <w:rsid w:val="002548B5"/>
    <w:rsid w:val="00266E0F"/>
    <w:rsid w:val="002924D2"/>
    <w:rsid w:val="00312CFC"/>
    <w:rsid w:val="004B0FA7"/>
    <w:rsid w:val="004C2E14"/>
    <w:rsid w:val="005501CE"/>
    <w:rsid w:val="00590A25"/>
    <w:rsid w:val="005A7327"/>
    <w:rsid w:val="005F080B"/>
    <w:rsid w:val="00617B93"/>
    <w:rsid w:val="007A0F4C"/>
    <w:rsid w:val="007B062B"/>
    <w:rsid w:val="007B6FD9"/>
    <w:rsid w:val="007F5739"/>
    <w:rsid w:val="0083771B"/>
    <w:rsid w:val="00841578"/>
    <w:rsid w:val="00845271"/>
    <w:rsid w:val="008700A0"/>
    <w:rsid w:val="008F5DD7"/>
    <w:rsid w:val="009067C3"/>
    <w:rsid w:val="00940656"/>
    <w:rsid w:val="00996259"/>
    <w:rsid w:val="00A44AD9"/>
    <w:rsid w:val="00AA47EC"/>
    <w:rsid w:val="00AB20C4"/>
    <w:rsid w:val="00C14CDD"/>
    <w:rsid w:val="00C31799"/>
    <w:rsid w:val="00D3611B"/>
    <w:rsid w:val="00D61E32"/>
    <w:rsid w:val="00DC76B8"/>
    <w:rsid w:val="00DE4410"/>
    <w:rsid w:val="00E042E7"/>
    <w:rsid w:val="00E10978"/>
    <w:rsid w:val="00E17321"/>
    <w:rsid w:val="00E51AB5"/>
    <w:rsid w:val="00EA57DE"/>
    <w:rsid w:val="00ED2D47"/>
    <w:rsid w:val="00EE7F20"/>
    <w:rsid w:val="00F23DC3"/>
    <w:rsid w:val="00FB06C0"/>
    <w:rsid w:val="00FF0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eastAsiaTheme="minorHAnsi" w:hAnsi="Century Gothic Light"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customStyle="1" w:styleId="Heading1Char">
    <w:name w:val="Heading 1 Char"/>
    <w:basedOn w:val="DefaultParagraphFont"/>
    <w:link w:val="Heading1"/>
    <w:uiPriority w:val="9"/>
    <w:rsid w:val="005501CE"/>
    <w:rPr>
      <w:rFonts w:ascii="Century Gothic Light" w:eastAsiaTheme="majorEastAsia" w:hAnsi="Century Gothic Light"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8452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27960831">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155147657">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ESME</dc:creator>
  <cp:keywords/>
  <dc:description/>
  <cp:lastModifiedBy>Bates, Finessa</cp:lastModifiedBy>
  <cp:revision>3</cp:revision>
  <cp:lastPrinted>2021-01-04T21:20:00Z</cp:lastPrinted>
  <dcterms:created xsi:type="dcterms:W3CDTF">2021-09-07T16:45:00Z</dcterms:created>
  <dcterms:modified xsi:type="dcterms:W3CDTF">2022-01-21T13:29:00Z</dcterms:modified>
</cp:coreProperties>
</file>