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9"/>
      </w:tblGrid>
      <w:tr w:rsidR="008700A0" w14:paraId="3E2643B7" w14:textId="77777777" w:rsidTr="008F5DD7">
        <w:trPr>
          <w:trHeight w:val="579"/>
        </w:trPr>
        <w:tc>
          <w:tcPr>
            <w:tcW w:w="10299" w:type="dxa"/>
          </w:tcPr>
          <w:p w14:paraId="7EE165E0" w14:textId="4AFC4FED" w:rsidR="00325FC1" w:rsidRPr="00325FC1" w:rsidRDefault="00325FC1" w:rsidP="00325FC1">
            <w:pPr>
              <w:rPr>
                <w:rFonts w:cs="Century Gothic Light"/>
                <w:color w:val="09223F"/>
              </w:rPr>
            </w:pPr>
            <w:r w:rsidRPr="00325FC1">
              <w:rPr>
                <w:rFonts w:cs="Century Gothic Light"/>
                <w:color w:val="09223F"/>
              </w:rPr>
              <w:t xml:space="preserve">Formerly the managing partner of our firm, Tim Berg is a distinguished attorney in our business litigation practice group, focusing primarily in the areas of civil appeals, state constitutional and public law, public records law and public utilities regulation. Throughout his career as an appellate attorney, he has participated in the briefing or argument of more than 500 appeals before the United States Courts of Appeals for the Ninth Circuit, the Tenth Circuit, the Second Circuit, the Fourth Circuit, the Fifth Circuit, the Eleventh Circuit, the Federal Circuit, the Supreme Court of Arizona and both divisions of the Arizona Court of Appeals. His appellate practice spans a broad field of substantive areas, including Arizona constitutional and public law, public records law, insurance coverage, medical malpractice, product liability, environmental, state and local taxation, business torts, real property and mineral rights, bankruptcy, public lands and public utilities. </w:t>
            </w:r>
            <w:r w:rsidR="003A3AE9">
              <w:rPr>
                <w:rFonts w:cs="Century Gothic Light"/>
                <w:color w:val="09223F"/>
              </w:rPr>
              <w:t>Tim</w:t>
            </w:r>
            <w:r w:rsidRPr="00325FC1">
              <w:rPr>
                <w:rFonts w:cs="Century Gothic Light"/>
                <w:color w:val="09223F"/>
              </w:rPr>
              <w:t xml:space="preserve"> represents state and local governments and agencies, as well as companies and individuals in disputes with the government.</w:t>
            </w:r>
          </w:p>
          <w:p w14:paraId="280E4C2B" w14:textId="77777777" w:rsidR="00325FC1" w:rsidRPr="00325FC1" w:rsidRDefault="00325FC1" w:rsidP="00325FC1">
            <w:pPr>
              <w:rPr>
                <w:rFonts w:cs="Century Gothic Light"/>
                <w:color w:val="09223F"/>
              </w:rPr>
            </w:pPr>
          </w:p>
          <w:p w14:paraId="478CE8F5" w14:textId="77777777" w:rsidR="00325FC1" w:rsidRPr="00325FC1" w:rsidRDefault="00325FC1" w:rsidP="00325FC1">
            <w:pPr>
              <w:rPr>
                <w:rFonts w:cs="Century Gothic Light"/>
                <w:color w:val="09223F"/>
              </w:rPr>
            </w:pPr>
            <w:r w:rsidRPr="00325FC1">
              <w:rPr>
                <w:rFonts w:cs="Century Gothic Light"/>
                <w:color w:val="09223F"/>
              </w:rPr>
              <w:t>As an appellate attorney, Tim enjoys working with his clients to solve their problems, working with a wide variety of people in different industries. He represents business and government clients in litigation arising under Arizona and other states’ public records law, and regularly assists clients in protecting their personal, proprietary or confidential information from improper disclosure as a result of public records requests. Tim also represents clients before the Arizona Legislature and state agencies. In his role as an Arizona Uniform Laws Commissioner, he  serves  on drafting committees for projects involving uniform state laws and model acts for adoption by Indian tribes. Tim clerked for Judge Richard H. Chambers, Chief Judge of the United States Court of Appeals for the Ninth Circuit.</w:t>
            </w:r>
          </w:p>
          <w:p w14:paraId="03D1E8F5" w14:textId="77777777" w:rsidR="00325FC1" w:rsidRPr="00325FC1" w:rsidRDefault="00325FC1" w:rsidP="00325FC1">
            <w:pPr>
              <w:rPr>
                <w:rFonts w:cs="Century Gothic Light"/>
                <w:color w:val="09223F"/>
              </w:rPr>
            </w:pPr>
          </w:p>
          <w:p w14:paraId="39C10D41" w14:textId="26E2AC56" w:rsidR="008700A0" w:rsidRDefault="00325FC1" w:rsidP="00325FC1">
            <w:r w:rsidRPr="00325FC1">
              <w:rPr>
                <w:rFonts w:cs="Century Gothic Light"/>
                <w:color w:val="09223F"/>
              </w:rPr>
              <w:t>Tim serves as the firm’s general counsel. He served for 21 years on our Management Committee, including 10 years as chair of the committee. Outside of his work as an appellate attorney, Tim enjoys date nights with his wife, Pat, going to the theatre, reading, or watching sports. He is a devoted Arizona Diamondbacks fan.</w:t>
            </w:r>
          </w:p>
        </w:tc>
      </w:tr>
      <w:tr w:rsidR="008700A0" w14:paraId="7B190A89" w14:textId="77777777" w:rsidTr="008F5DD7">
        <w:trPr>
          <w:trHeight w:val="579"/>
        </w:trPr>
        <w:tc>
          <w:tcPr>
            <w:tcW w:w="10299" w:type="dxa"/>
          </w:tcPr>
          <w:p w14:paraId="5D0099CC" w14:textId="77777777" w:rsidR="008700A0" w:rsidRDefault="008700A0" w:rsidP="008700A0">
            <w:pPr>
              <w:pStyle w:val="BasicParagraph"/>
              <w:suppressAutoHyphens/>
              <w:spacing w:line="240" w:lineRule="auto"/>
              <w:rPr>
                <w:rFonts w:ascii="Century Gothic Light" w:hAnsi="Century Gothic Light" w:cs="Century Gothic Light"/>
                <w:color w:val="09223F"/>
                <w:sz w:val="22"/>
                <w:szCs w:val="22"/>
              </w:rPr>
            </w:pPr>
          </w:p>
        </w:tc>
      </w:tr>
      <w:tr w:rsidR="008700A0" w14:paraId="42185E66" w14:textId="77777777" w:rsidTr="004B0FA7">
        <w:trPr>
          <w:trHeight w:val="627"/>
        </w:trPr>
        <w:tc>
          <w:tcPr>
            <w:tcW w:w="10299" w:type="dxa"/>
          </w:tcPr>
          <w:p w14:paraId="0AB62B66" w14:textId="77777777" w:rsidR="008700A0" w:rsidRPr="00996259" w:rsidRDefault="008700A0" w:rsidP="008700A0">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14:paraId="31D0DCA1"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J.D., with highest distinction, University of Arizona, James E. Rogers College of Law</w:t>
            </w:r>
          </w:p>
          <w:p w14:paraId="34ACCECD"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B.A., with high distinction, Arizona State University</w:t>
            </w:r>
          </w:p>
          <w:p w14:paraId="64865ECB"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Order of the Coif</w:t>
            </w:r>
          </w:p>
          <w:p w14:paraId="3BF85D19" w14:textId="4E60A2E2" w:rsidR="00AB20C4"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 xml:space="preserve">Associate Editor, </w:t>
            </w:r>
            <w:r w:rsidRPr="00325FC1">
              <w:rPr>
                <w:rFonts w:ascii="Century Gothic Light" w:hAnsi="Century Gothic Light" w:cs="Century Gothic Light"/>
                <w:i/>
                <w:iCs/>
                <w:color w:val="09223F"/>
                <w:sz w:val="22"/>
                <w:szCs w:val="22"/>
              </w:rPr>
              <w:t>Arizona Law Review</w:t>
            </w:r>
          </w:p>
        </w:tc>
      </w:tr>
      <w:tr w:rsidR="00DE4410" w14:paraId="5AA1B251" w14:textId="77777777" w:rsidTr="008F5DD7">
        <w:trPr>
          <w:trHeight w:val="288"/>
        </w:trPr>
        <w:tc>
          <w:tcPr>
            <w:tcW w:w="10299" w:type="dxa"/>
          </w:tcPr>
          <w:p w14:paraId="57BF22AA" w14:textId="77777777" w:rsidR="00DE4410" w:rsidRPr="008F5DD7" w:rsidRDefault="00DE4410" w:rsidP="008700A0">
            <w:pPr>
              <w:pStyle w:val="BasicParagraph"/>
              <w:rPr>
                <w:rFonts w:ascii="Century Gothic Light" w:hAnsi="Century Gothic Light" w:cs="Century Gothic Light"/>
                <w:caps/>
                <w:color w:val="F5821F"/>
                <w:szCs w:val="28"/>
              </w:rPr>
            </w:pPr>
          </w:p>
        </w:tc>
      </w:tr>
      <w:tr w:rsidR="00996259" w14:paraId="26225FC7" w14:textId="77777777" w:rsidTr="008F5DD7">
        <w:trPr>
          <w:trHeight w:val="720"/>
        </w:trPr>
        <w:tc>
          <w:tcPr>
            <w:tcW w:w="10299" w:type="dxa"/>
          </w:tcPr>
          <w:p w14:paraId="3BEA527C"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5037"/>
            </w:tblGrid>
            <w:tr w:rsidR="008D168A" w14:paraId="2FD63DE2" w14:textId="77777777" w:rsidTr="006440E9">
              <w:tc>
                <w:tcPr>
                  <w:tcW w:w="5036" w:type="dxa"/>
                </w:tcPr>
                <w:p w14:paraId="60677C59" w14:textId="5A60A916" w:rsidR="00325FC1" w:rsidRDefault="00325FC1" w:rsidP="00183498">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Appeals</w:t>
                  </w:r>
                </w:p>
                <w:p w14:paraId="2ACD6411" w14:textId="2BA12725" w:rsidR="00E4405C" w:rsidRDefault="00E4405C" w:rsidP="00183498">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Business </w:t>
                  </w:r>
                  <w:r w:rsidR="00AE1C23">
                    <w:rPr>
                      <w:rFonts w:ascii="Century Gothic Light" w:hAnsi="Century Gothic Light" w:cs="Century Gothic Light"/>
                      <w:color w:val="09223F"/>
                      <w:sz w:val="22"/>
                      <w:szCs w:val="22"/>
                    </w:rPr>
                    <w:t>Litigation</w:t>
                  </w:r>
                </w:p>
                <w:p w14:paraId="08178945" w14:textId="77777777" w:rsidR="009366B8" w:rsidRDefault="00325FC1" w:rsidP="00183498">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Indian Law</w:t>
                  </w:r>
                </w:p>
                <w:p w14:paraId="53698C71" w14:textId="7E185E77" w:rsidR="003A3AE9" w:rsidRPr="003A3AE9" w:rsidRDefault="003A3AE9" w:rsidP="00183498">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Government Relations and Regulatory</w:t>
                  </w:r>
                </w:p>
              </w:tc>
              <w:tc>
                <w:tcPr>
                  <w:tcW w:w="5037" w:type="dxa"/>
                </w:tcPr>
                <w:p w14:paraId="24D2BE78" w14:textId="77777777" w:rsidR="00325FC1" w:rsidRDefault="00325FC1" w:rsidP="00183498">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Natural Resources, Energy and Environmental</w:t>
                  </w:r>
                </w:p>
                <w:p w14:paraId="22A85BCB" w14:textId="09F32EA2" w:rsidR="00325FC1" w:rsidRPr="00DE4410" w:rsidRDefault="00325FC1" w:rsidP="00183498">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Public Records</w:t>
                  </w:r>
                </w:p>
              </w:tc>
            </w:tr>
          </w:tbl>
          <w:p w14:paraId="4910D759" w14:textId="77777777" w:rsidR="00996259" w:rsidRDefault="00996259" w:rsidP="008700A0">
            <w:pPr>
              <w:pStyle w:val="BasicParagraph"/>
              <w:rPr>
                <w:rFonts w:ascii="Century Gothic Light" w:hAnsi="Century Gothic Light" w:cs="Century Gothic Light"/>
                <w:caps/>
                <w:color w:val="F5821F"/>
                <w:sz w:val="32"/>
                <w:szCs w:val="32"/>
              </w:rPr>
            </w:pPr>
          </w:p>
        </w:tc>
      </w:tr>
      <w:tr w:rsidR="005501CE" w14:paraId="47FA36BC" w14:textId="77777777" w:rsidTr="008F5DD7">
        <w:trPr>
          <w:trHeight w:val="288"/>
        </w:trPr>
        <w:tc>
          <w:tcPr>
            <w:tcW w:w="10299" w:type="dxa"/>
          </w:tcPr>
          <w:p w14:paraId="31DEB609" w14:textId="77777777" w:rsidR="005501CE" w:rsidRPr="008F5DD7" w:rsidRDefault="005501CE" w:rsidP="00996259">
            <w:pPr>
              <w:pStyle w:val="BasicParagraph"/>
              <w:rPr>
                <w:rFonts w:ascii="Century Gothic Light" w:hAnsi="Century Gothic Light" w:cs="Century Gothic Light"/>
                <w:caps/>
                <w:color w:val="F5821F"/>
                <w:szCs w:val="28"/>
              </w:rPr>
            </w:pPr>
          </w:p>
        </w:tc>
      </w:tr>
      <w:tr w:rsidR="009366B8" w14:paraId="1D2008EC" w14:textId="77777777" w:rsidTr="008F5DD7">
        <w:trPr>
          <w:trHeight w:val="288"/>
        </w:trPr>
        <w:tc>
          <w:tcPr>
            <w:tcW w:w="10299" w:type="dxa"/>
          </w:tcPr>
          <w:p w14:paraId="68EDC22B" w14:textId="74441B2F" w:rsidR="009366B8" w:rsidRPr="00996259" w:rsidRDefault="009366B8" w:rsidP="009366B8">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representative cases</w:t>
            </w:r>
          </w:p>
          <w:p w14:paraId="195482A6"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On behalf of the Arizona Tourism and Sports Authority, successfully defended the constitutionality of a tax on the business of leasing vehicles against challenges under the Dormant Commerce Clause of the United States Constitution and the Anti-Diversion provision of the Arizona Constitution. </w:t>
            </w:r>
            <w:proofErr w:type="spellStart"/>
            <w:r w:rsidRPr="00325FC1">
              <w:rPr>
                <w:rFonts w:ascii="Century Gothic Light" w:hAnsi="Century Gothic Light" w:cs="Century Gothic Light"/>
                <w:i/>
                <w:iCs/>
                <w:color w:val="09223F"/>
                <w:sz w:val="22"/>
                <w:szCs w:val="22"/>
              </w:rPr>
              <w:t>Saban</w:t>
            </w:r>
            <w:proofErr w:type="spellEnd"/>
            <w:r w:rsidRPr="00325FC1">
              <w:rPr>
                <w:rFonts w:ascii="Century Gothic Light" w:hAnsi="Century Gothic Light" w:cs="Century Gothic Light"/>
                <w:i/>
                <w:iCs/>
                <w:color w:val="09223F"/>
                <w:sz w:val="22"/>
                <w:szCs w:val="22"/>
              </w:rPr>
              <w:t xml:space="preserve"> Rent-A Car LLC v. Arizona Department of Revenue,</w:t>
            </w:r>
            <w:r w:rsidRPr="00325FC1">
              <w:rPr>
                <w:rFonts w:ascii="Century Gothic Light" w:hAnsi="Century Gothic Light" w:cs="Century Gothic Light"/>
                <w:color w:val="09223F"/>
                <w:sz w:val="22"/>
                <w:szCs w:val="22"/>
              </w:rPr>
              <w:t> 246 Ariz. 89 (2019)</w:t>
            </w:r>
          </w:p>
          <w:p w14:paraId="5A24E96D"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Represented the Arizona Health Care Cost Containment System in the successful defense in the Arizona Supreme Court of an assessment authorized by the Arizona Legislature to fund Medicaid restoration against a challenge that the assessment violated the supermajority requirement of Article 9, section 22 of the Arizona Constitution. </w:t>
            </w:r>
            <w:r w:rsidRPr="00325FC1">
              <w:rPr>
                <w:rFonts w:ascii="Century Gothic Light" w:hAnsi="Century Gothic Light" w:cs="Century Gothic Light"/>
                <w:i/>
                <w:iCs/>
                <w:color w:val="09223F"/>
                <w:sz w:val="22"/>
                <w:szCs w:val="22"/>
              </w:rPr>
              <w:t xml:space="preserve">Biggs v. </w:t>
            </w:r>
            <w:proofErr w:type="spellStart"/>
            <w:r w:rsidRPr="00325FC1">
              <w:rPr>
                <w:rFonts w:ascii="Century Gothic Light" w:hAnsi="Century Gothic Light" w:cs="Century Gothic Light"/>
                <w:i/>
                <w:iCs/>
                <w:color w:val="09223F"/>
                <w:sz w:val="22"/>
                <w:szCs w:val="22"/>
              </w:rPr>
              <w:t>Betlach</w:t>
            </w:r>
            <w:proofErr w:type="spellEnd"/>
            <w:r w:rsidRPr="00325FC1">
              <w:rPr>
                <w:rFonts w:ascii="Century Gothic Light" w:hAnsi="Century Gothic Light" w:cs="Century Gothic Light"/>
                <w:color w:val="09223F"/>
                <w:sz w:val="22"/>
                <w:szCs w:val="22"/>
              </w:rPr>
              <w:t>, 404 P.3d 1243 (2017)</w:t>
            </w:r>
          </w:p>
          <w:p w14:paraId="551BF39B"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 xml:space="preserve">Represented the City of Phoenix in a lawsuit brought by various taxpayers challenging the constitutionality of a $100 million retail sales tax incentive agreement between the City and developer </w:t>
            </w:r>
            <w:proofErr w:type="spellStart"/>
            <w:r w:rsidRPr="00325FC1">
              <w:rPr>
                <w:rFonts w:ascii="Century Gothic Light" w:hAnsi="Century Gothic Light" w:cs="Century Gothic Light"/>
                <w:color w:val="09223F"/>
                <w:sz w:val="22"/>
                <w:szCs w:val="22"/>
              </w:rPr>
              <w:t>NPP</w:t>
            </w:r>
            <w:proofErr w:type="spellEnd"/>
            <w:r w:rsidRPr="00325FC1">
              <w:rPr>
                <w:rFonts w:ascii="Century Gothic Light" w:hAnsi="Century Gothic Light" w:cs="Century Gothic Light"/>
                <w:color w:val="09223F"/>
                <w:sz w:val="22"/>
                <w:szCs w:val="22"/>
              </w:rPr>
              <w:t xml:space="preserve"> </w:t>
            </w:r>
            <w:proofErr w:type="spellStart"/>
            <w:r w:rsidRPr="00325FC1">
              <w:rPr>
                <w:rFonts w:ascii="Century Gothic Light" w:hAnsi="Century Gothic Light" w:cs="Century Gothic Light"/>
                <w:color w:val="09223F"/>
                <w:sz w:val="22"/>
                <w:szCs w:val="22"/>
              </w:rPr>
              <w:t>CityNorth</w:t>
            </w:r>
            <w:proofErr w:type="spellEnd"/>
            <w:r w:rsidRPr="00325FC1">
              <w:rPr>
                <w:rFonts w:ascii="Century Gothic Light" w:hAnsi="Century Gothic Light" w:cs="Century Gothic Light"/>
                <w:color w:val="09223F"/>
                <w:sz w:val="22"/>
                <w:szCs w:val="22"/>
              </w:rPr>
              <w:t>, LLC. The taxpayers alleged that the subject agreement violated the Gift, Special Law, and Privileges and Immunities clauses of the Arizona Constitution ("Gift Clause"). The trial court rejected each of the taxpayers' claims, and the Court of Appeals of Arizona reversed, holding that the agreement violated the Gift Clause. The Arizona Supreme Court granted review. After hearing the case, it issued a decision early in 2010 that allowed the City of Phoenix sales tax incentive agreement between the City and the developer to stand and vacated the Court of Appeals decision on Gift Clause compliance because the existing legal framework was unclear. It adopted a clear view of public purpose and set a framework for the courts to decide whether a transaction will pass muster under the Gift Clause. </w:t>
            </w:r>
            <w:proofErr w:type="spellStart"/>
            <w:r w:rsidRPr="00325FC1">
              <w:rPr>
                <w:rFonts w:ascii="Century Gothic Light" w:hAnsi="Century Gothic Light" w:cs="Century Gothic Light"/>
                <w:i/>
                <w:iCs/>
                <w:color w:val="09223F"/>
                <w:sz w:val="22"/>
                <w:szCs w:val="22"/>
              </w:rPr>
              <w:t>Turken</w:t>
            </w:r>
            <w:proofErr w:type="spellEnd"/>
            <w:r w:rsidRPr="00325FC1">
              <w:rPr>
                <w:rFonts w:ascii="Century Gothic Light" w:hAnsi="Century Gothic Light" w:cs="Century Gothic Light"/>
                <w:i/>
                <w:iCs/>
                <w:color w:val="09223F"/>
                <w:sz w:val="22"/>
                <w:szCs w:val="22"/>
              </w:rPr>
              <w:t xml:space="preserve"> v. Gordon</w:t>
            </w:r>
            <w:r w:rsidRPr="00325FC1">
              <w:rPr>
                <w:rFonts w:ascii="Century Gothic Light" w:hAnsi="Century Gothic Light" w:cs="Century Gothic Light"/>
                <w:color w:val="09223F"/>
                <w:sz w:val="22"/>
                <w:szCs w:val="22"/>
              </w:rPr>
              <w:t>, 223 Ariz. 342, 224 P.3d 158.</w:t>
            </w:r>
          </w:p>
          <w:p w14:paraId="2C5D6890"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Obtained decision from Court of Appeals vacating a $25 million punitive damage award in an action against a mental health provider accused of negligent failure to treat. </w:t>
            </w:r>
            <w:r w:rsidRPr="00325FC1">
              <w:rPr>
                <w:rFonts w:ascii="Century Gothic Light" w:hAnsi="Century Gothic Light" w:cs="Century Gothic Light"/>
                <w:i/>
                <w:iCs/>
                <w:color w:val="09223F"/>
                <w:sz w:val="22"/>
                <w:szCs w:val="22"/>
              </w:rPr>
              <w:t xml:space="preserve">Graham v. </w:t>
            </w:r>
            <w:proofErr w:type="spellStart"/>
            <w:r w:rsidRPr="00325FC1">
              <w:rPr>
                <w:rFonts w:ascii="Century Gothic Light" w:hAnsi="Century Gothic Light" w:cs="Century Gothic Light"/>
                <w:i/>
                <w:iCs/>
                <w:color w:val="09223F"/>
                <w:sz w:val="22"/>
                <w:szCs w:val="22"/>
              </w:rPr>
              <w:t>ValueOptions</w:t>
            </w:r>
            <w:proofErr w:type="spellEnd"/>
            <w:r w:rsidRPr="00325FC1">
              <w:rPr>
                <w:rFonts w:ascii="Century Gothic Light" w:hAnsi="Century Gothic Light" w:cs="Century Gothic Light"/>
                <w:i/>
                <w:iCs/>
                <w:color w:val="09223F"/>
                <w:sz w:val="22"/>
                <w:szCs w:val="22"/>
              </w:rPr>
              <w:t>,</w:t>
            </w:r>
            <w:r w:rsidRPr="00325FC1">
              <w:rPr>
                <w:rFonts w:ascii="Century Gothic Light" w:hAnsi="Century Gothic Light" w:cs="Century Gothic Light"/>
                <w:color w:val="09223F"/>
                <w:sz w:val="22"/>
                <w:szCs w:val="22"/>
              </w:rPr>
              <w:t xml:space="preserve"> 2010 Ariz. App. </w:t>
            </w:r>
            <w:proofErr w:type="spellStart"/>
            <w:r w:rsidRPr="00325FC1">
              <w:rPr>
                <w:rFonts w:ascii="Century Gothic Light" w:hAnsi="Century Gothic Light" w:cs="Century Gothic Light"/>
                <w:color w:val="09223F"/>
                <w:sz w:val="22"/>
                <w:szCs w:val="22"/>
              </w:rPr>
              <w:t>Unpub</w:t>
            </w:r>
            <w:proofErr w:type="spellEnd"/>
            <w:r w:rsidRPr="00325FC1">
              <w:rPr>
                <w:rFonts w:ascii="Century Gothic Light" w:hAnsi="Century Gothic Light" w:cs="Century Gothic Light"/>
                <w:color w:val="09223F"/>
                <w:sz w:val="22"/>
                <w:szCs w:val="22"/>
              </w:rPr>
              <w:t>. LEXIS 75.</w:t>
            </w:r>
          </w:p>
          <w:p w14:paraId="16811B54"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Represented a homebuilder on appeal in a coverage action against the homebuilder's insurer. Decision resulted in new coverage law favorable to business insureds. </w:t>
            </w:r>
            <w:r w:rsidRPr="00325FC1">
              <w:rPr>
                <w:rFonts w:ascii="Century Gothic Light" w:hAnsi="Century Gothic Light" w:cs="Century Gothic Light"/>
                <w:i/>
                <w:iCs/>
                <w:color w:val="09223F"/>
                <w:sz w:val="22"/>
                <w:szCs w:val="22"/>
              </w:rPr>
              <w:t>Desert Mountain Properties Limited Partnership v. Liberty Mutual Fire Ins. Co.</w:t>
            </w:r>
            <w:r w:rsidRPr="00325FC1">
              <w:rPr>
                <w:rFonts w:ascii="Century Gothic Light" w:hAnsi="Century Gothic Light" w:cs="Century Gothic Light"/>
                <w:color w:val="09223F"/>
                <w:sz w:val="22"/>
                <w:szCs w:val="22"/>
              </w:rPr>
              <w:t>, No. CV-10-0339-PR (Ariz. May 12, 2011).</w:t>
            </w:r>
          </w:p>
          <w:p w14:paraId="72023623"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Represented a major homebuilder in a successful appeal reversing a summary judgment that the homebuilder's and its contractors' insurers did not have a duty to</w:t>
            </w:r>
            <w:r w:rsidRPr="00325FC1">
              <w:rPr>
                <w:rFonts w:ascii="Open Sans" w:eastAsia="Times New Roman" w:hAnsi="Open Sans" w:cs="Open Sans"/>
                <w:color w:val="090909"/>
                <w:sz w:val="23"/>
                <w:szCs w:val="23"/>
              </w:rPr>
              <w:t xml:space="preserve"> </w:t>
            </w:r>
            <w:r w:rsidRPr="00325FC1">
              <w:rPr>
                <w:rFonts w:ascii="Century Gothic Light" w:hAnsi="Century Gothic Light" w:cs="Century Gothic Light"/>
                <w:color w:val="09223F"/>
                <w:sz w:val="22"/>
                <w:szCs w:val="22"/>
              </w:rPr>
              <w:t>defend a construction defect lawsuit under a general liability insurance policy. </w:t>
            </w:r>
            <w:r w:rsidRPr="00325FC1">
              <w:rPr>
                <w:rFonts w:ascii="Century Gothic Light" w:hAnsi="Century Gothic Light" w:cs="Century Gothic Light"/>
                <w:i/>
                <w:iCs/>
                <w:color w:val="09223F"/>
                <w:sz w:val="22"/>
                <w:szCs w:val="22"/>
              </w:rPr>
              <w:t>Lennar Corp. v. Auto-Owners Ins. Co.,</w:t>
            </w:r>
            <w:r w:rsidRPr="00325FC1">
              <w:rPr>
                <w:rFonts w:ascii="Century Gothic Light" w:hAnsi="Century Gothic Light" w:cs="Century Gothic Light"/>
                <w:color w:val="09223F"/>
                <w:sz w:val="22"/>
                <w:szCs w:val="22"/>
              </w:rPr>
              <w:t xml:space="preserve"> 151 P.3d 538 App. 2007.</w:t>
            </w:r>
          </w:p>
          <w:p w14:paraId="59E3C7A3"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Represented a public official in an appeal resulting in an Arizona Supreme Court opinion establishing that personal emails of a public employee located on his or her employer's computer are not public records unless related to the public business of the employee. </w:t>
            </w:r>
            <w:proofErr w:type="spellStart"/>
            <w:r w:rsidRPr="00325FC1">
              <w:rPr>
                <w:rFonts w:ascii="Century Gothic Light" w:hAnsi="Century Gothic Light" w:cs="Century Gothic Light"/>
                <w:i/>
                <w:iCs/>
                <w:color w:val="09223F"/>
                <w:sz w:val="22"/>
                <w:szCs w:val="22"/>
              </w:rPr>
              <w:t>Griffis</w:t>
            </w:r>
            <w:proofErr w:type="spellEnd"/>
            <w:r w:rsidRPr="00325FC1">
              <w:rPr>
                <w:rFonts w:ascii="Century Gothic Light" w:hAnsi="Century Gothic Light" w:cs="Century Gothic Light"/>
                <w:i/>
                <w:iCs/>
                <w:color w:val="09223F"/>
                <w:sz w:val="22"/>
                <w:szCs w:val="22"/>
              </w:rPr>
              <w:t xml:space="preserve"> v. Pinal County and Phoenix Newspapers</w:t>
            </w:r>
            <w:r w:rsidRPr="00325FC1">
              <w:rPr>
                <w:rFonts w:ascii="Century Gothic Light" w:hAnsi="Century Gothic Light" w:cs="Century Gothic Light"/>
                <w:color w:val="09223F"/>
                <w:sz w:val="22"/>
                <w:szCs w:val="22"/>
              </w:rPr>
              <w:t>, 215 Ariz. 1, 156 P.3d 418 (2007).</w:t>
            </w:r>
          </w:p>
          <w:p w14:paraId="126E99D9"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 xml:space="preserve">Represented an incumbent telecommunications company in </w:t>
            </w:r>
            <w:proofErr w:type="spellStart"/>
            <w:r w:rsidRPr="00325FC1">
              <w:rPr>
                <w:rFonts w:ascii="Century Gothic Light" w:hAnsi="Century Gothic Light" w:cs="Century Gothic Light"/>
                <w:color w:val="09223F"/>
                <w:sz w:val="22"/>
                <w:szCs w:val="22"/>
              </w:rPr>
              <w:t>a</w:t>
            </w:r>
            <w:proofErr w:type="spellEnd"/>
            <w:r w:rsidRPr="00325FC1">
              <w:rPr>
                <w:rFonts w:ascii="Century Gothic Light" w:hAnsi="Century Gothic Light" w:cs="Century Gothic Light"/>
                <w:color w:val="09223F"/>
                <w:sz w:val="22"/>
                <w:szCs w:val="22"/>
              </w:rPr>
              <w:t xml:space="preserve"> appeal to the Arizona Supreme Court establishing that all telecommunications providers in the state are subject to the state constitution's fair value requirement. </w:t>
            </w:r>
            <w:r w:rsidRPr="00325FC1">
              <w:rPr>
                <w:rFonts w:ascii="Century Gothic Light" w:hAnsi="Century Gothic Light" w:cs="Century Gothic Light"/>
                <w:i/>
                <w:iCs/>
                <w:color w:val="09223F"/>
                <w:sz w:val="22"/>
                <w:szCs w:val="22"/>
              </w:rPr>
              <w:t>US West Communications, Inc. v. Arizona Corporation Commission</w:t>
            </w:r>
            <w:r w:rsidRPr="00325FC1">
              <w:rPr>
                <w:rFonts w:ascii="Century Gothic Light" w:hAnsi="Century Gothic Light" w:cs="Century Gothic Light"/>
                <w:color w:val="09223F"/>
                <w:sz w:val="22"/>
                <w:szCs w:val="22"/>
              </w:rPr>
              <w:t>, 201 Ariz. 242, 34 P.3d 351 (2001).</w:t>
            </w:r>
          </w:p>
          <w:p w14:paraId="574F6D46" w14:textId="669CE3A2" w:rsidR="009366B8" w:rsidRPr="00325FC1" w:rsidRDefault="00325FC1" w:rsidP="00325FC1">
            <w:pPr>
              <w:pStyle w:val="BasicParagraph"/>
              <w:numPr>
                <w:ilvl w:val="0"/>
                <w:numId w:val="1"/>
              </w:numPr>
              <w:suppressAutoHyphens/>
              <w:spacing w:line="240" w:lineRule="auto"/>
              <w:rPr>
                <w:rFonts w:ascii="Open Sans" w:eastAsia="Times New Roman" w:hAnsi="Open Sans" w:cs="Open Sans"/>
                <w:color w:val="090909"/>
                <w:sz w:val="23"/>
                <w:szCs w:val="23"/>
              </w:rPr>
            </w:pPr>
            <w:r w:rsidRPr="00325FC1">
              <w:rPr>
                <w:rFonts w:ascii="Century Gothic Light" w:hAnsi="Century Gothic Light" w:cs="Century Gothic Light"/>
                <w:color w:val="09223F"/>
                <w:sz w:val="22"/>
                <w:szCs w:val="22"/>
              </w:rPr>
              <w:t>Represented Arizona Governor Jane Dee Hull in a special action to the Supreme Court concerning the constitutionality of a statute adopted to deal with the court's mandate concerning funding of construction of school facilities. </w:t>
            </w:r>
            <w:r w:rsidRPr="00325FC1">
              <w:rPr>
                <w:rFonts w:ascii="Century Gothic Light" w:hAnsi="Century Gothic Light" w:cs="Century Gothic Light"/>
                <w:i/>
                <w:iCs/>
                <w:color w:val="09223F"/>
                <w:sz w:val="22"/>
                <w:szCs w:val="22"/>
              </w:rPr>
              <w:t>Hull v. Albrecht</w:t>
            </w:r>
            <w:r w:rsidRPr="00325FC1">
              <w:rPr>
                <w:rFonts w:ascii="Century Gothic Light" w:hAnsi="Century Gothic Light" w:cs="Century Gothic Light"/>
                <w:color w:val="09223F"/>
                <w:sz w:val="22"/>
                <w:szCs w:val="22"/>
              </w:rPr>
              <w:t>, 192 Ariz. 34, 960 P.2d 634 (1998)</w:t>
            </w:r>
            <w:r>
              <w:rPr>
                <w:rFonts w:ascii="Century Gothic Light" w:hAnsi="Century Gothic Light" w:cs="Century Gothic Light"/>
                <w:color w:val="09223F"/>
                <w:sz w:val="22"/>
                <w:szCs w:val="22"/>
              </w:rPr>
              <w:t>.</w:t>
            </w:r>
          </w:p>
        </w:tc>
      </w:tr>
      <w:tr w:rsidR="004B0FA7" w14:paraId="7264444D" w14:textId="77777777" w:rsidTr="008F5DD7">
        <w:trPr>
          <w:trHeight w:val="288"/>
        </w:trPr>
        <w:tc>
          <w:tcPr>
            <w:tcW w:w="10299" w:type="dxa"/>
          </w:tcPr>
          <w:p w14:paraId="59963461" w14:textId="77777777" w:rsidR="004B0FA7" w:rsidRPr="008F5DD7" w:rsidRDefault="004B0FA7" w:rsidP="00996259">
            <w:pPr>
              <w:pStyle w:val="BasicParagraph"/>
              <w:rPr>
                <w:rFonts w:ascii="Century Gothic Light" w:hAnsi="Century Gothic Light" w:cs="Century Gothic Light"/>
                <w:caps/>
                <w:color w:val="F5821F"/>
                <w:szCs w:val="28"/>
              </w:rPr>
            </w:pPr>
          </w:p>
        </w:tc>
      </w:tr>
      <w:tr w:rsidR="009366B8" w14:paraId="05F07DC8" w14:textId="77777777" w:rsidTr="008F5DD7">
        <w:trPr>
          <w:trHeight w:val="288"/>
        </w:trPr>
        <w:tc>
          <w:tcPr>
            <w:tcW w:w="10299" w:type="dxa"/>
          </w:tcPr>
          <w:p w14:paraId="07C3D0C5" w14:textId="472236E6" w:rsidR="009366B8" w:rsidRPr="00996259" w:rsidRDefault="009366B8" w:rsidP="009366B8">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14:paraId="213E4729" w14:textId="6D3CAB9C" w:rsidR="00183498" w:rsidRPr="00183498" w:rsidRDefault="00183498" w:rsidP="00B105A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Top 100 Lawyers in Arizona, </w:t>
            </w:r>
            <w:r w:rsidRPr="00325FC1">
              <w:rPr>
                <w:rFonts w:ascii="Century Gothic Light" w:hAnsi="Century Gothic Light" w:cs="Century Gothic Light"/>
                <w:i/>
                <w:iCs/>
                <w:color w:val="09223F"/>
                <w:sz w:val="22"/>
                <w:szCs w:val="22"/>
              </w:rPr>
              <w:t>AZ</w:t>
            </w:r>
            <w:r>
              <w:rPr>
                <w:rFonts w:ascii="Century Gothic Light" w:hAnsi="Century Gothic Light" w:cs="Century Gothic Light"/>
                <w:i/>
                <w:iCs/>
                <w:color w:val="09223F"/>
                <w:sz w:val="22"/>
                <w:szCs w:val="22"/>
              </w:rPr>
              <w:t xml:space="preserve"> </w:t>
            </w:r>
            <w:r w:rsidRPr="00325FC1">
              <w:rPr>
                <w:rFonts w:ascii="Century Gothic Light" w:hAnsi="Century Gothic Light" w:cs="Century Gothic Light"/>
                <w:i/>
                <w:iCs/>
                <w:color w:val="09223F"/>
                <w:sz w:val="22"/>
                <w:szCs w:val="22"/>
              </w:rPr>
              <w:t>Big</w:t>
            </w:r>
            <w:r>
              <w:rPr>
                <w:rFonts w:ascii="Century Gothic Light" w:hAnsi="Century Gothic Light" w:cs="Century Gothic Light"/>
                <w:i/>
                <w:iCs/>
                <w:color w:val="09223F"/>
                <w:sz w:val="22"/>
                <w:szCs w:val="22"/>
              </w:rPr>
              <w:t xml:space="preserve"> </w:t>
            </w:r>
            <w:r w:rsidRPr="00325FC1">
              <w:rPr>
                <w:rFonts w:ascii="Century Gothic Light" w:hAnsi="Century Gothic Light" w:cs="Century Gothic Light"/>
                <w:i/>
                <w:iCs/>
                <w:color w:val="09223F"/>
                <w:sz w:val="22"/>
                <w:szCs w:val="22"/>
              </w:rPr>
              <w:t>Media</w:t>
            </w:r>
            <w:r w:rsidRPr="00325FC1">
              <w:rPr>
                <w:rFonts w:ascii="Century Gothic Light" w:hAnsi="Century Gothic Light" w:cs="Century Gothic Light"/>
                <w:color w:val="09223F"/>
                <w:sz w:val="22"/>
                <w:szCs w:val="22"/>
              </w:rPr>
              <w:t>, 2020</w:t>
            </w:r>
            <w:r>
              <w:rPr>
                <w:rFonts w:ascii="Century Gothic Light" w:hAnsi="Century Gothic Light" w:cs="Century Gothic Light"/>
                <w:color w:val="09223F"/>
                <w:sz w:val="22"/>
                <w:szCs w:val="22"/>
              </w:rPr>
              <w:t>, 2022</w:t>
            </w:r>
          </w:p>
          <w:p w14:paraId="7510477C" w14:textId="04BEA7F6" w:rsidR="00B105A4" w:rsidRPr="00325FC1" w:rsidRDefault="00B105A4" w:rsidP="00B105A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i/>
                <w:iCs/>
                <w:color w:val="09223F"/>
                <w:sz w:val="22"/>
                <w:szCs w:val="22"/>
              </w:rPr>
              <w:t>Best Lawyers in America</w:t>
            </w:r>
            <w:r w:rsidRPr="00325FC1">
              <w:rPr>
                <w:rFonts w:ascii="Century Gothic Light" w:hAnsi="Century Gothic Light" w:cs="Century Gothic Light"/>
                <w:i/>
                <w:iCs/>
                <w:color w:val="09223F"/>
                <w:sz w:val="22"/>
                <w:szCs w:val="22"/>
                <w:vertAlign w:val="superscript"/>
              </w:rPr>
              <w:t>®</w:t>
            </w:r>
            <w:r w:rsidRPr="00325FC1">
              <w:rPr>
                <w:rFonts w:ascii="Century Gothic Light" w:hAnsi="Century Gothic Light" w:cs="Century Gothic Light"/>
                <w:i/>
                <w:iCs/>
                <w:color w:val="09223F"/>
                <w:sz w:val="22"/>
                <w:szCs w:val="22"/>
              </w:rPr>
              <w:t>,</w:t>
            </w:r>
            <w:r w:rsidRPr="00325FC1">
              <w:rPr>
                <w:rFonts w:ascii="Century Gothic Light" w:hAnsi="Century Gothic Light" w:cs="Century Gothic Light"/>
                <w:color w:val="09223F"/>
                <w:sz w:val="22"/>
                <w:szCs w:val="22"/>
              </w:rPr>
              <w:t xml:space="preserve"> Lawyer of the Year, </w:t>
            </w:r>
            <w:r>
              <w:rPr>
                <w:rFonts w:ascii="Century Gothic Light" w:hAnsi="Century Gothic Light" w:cs="Century Gothic Light"/>
                <w:color w:val="09223F"/>
                <w:sz w:val="22"/>
                <w:szCs w:val="22"/>
              </w:rPr>
              <w:t>Appellate Practice, 2021</w:t>
            </w:r>
          </w:p>
          <w:p w14:paraId="539B2235" w14:textId="77777777" w:rsidR="007A2A63" w:rsidRPr="00325FC1" w:rsidRDefault="007A2A63" w:rsidP="007A2A6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i/>
                <w:iCs/>
                <w:color w:val="09223F"/>
                <w:sz w:val="22"/>
                <w:szCs w:val="22"/>
              </w:rPr>
              <w:t>Chambers USA</w:t>
            </w:r>
            <w:r w:rsidRPr="00325FC1">
              <w:rPr>
                <w:rFonts w:ascii="Century Gothic Light" w:hAnsi="Century Gothic Light" w:cs="Century Gothic Light"/>
                <w:color w:val="09223F"/>
                <w:sz w:val="22"/>
                <w:szCs w:val="22"/>
              </w:rPr>
              <w:t>, Leading Lawyers for Business, 2012, 2020</w:t>
            </w:r>
            <w:r>
              <w:rPr>
                <w:rFonts w:ascii="Century Gothic Light" w:hAnsi="Century Gothic Light" w:cs="Century Gothic Light"/>
                <w:color w:val="09223F"/>
                <w:sz w:val="22"/>
                <w:szCs w:val="22"/>
              </w:rPr>
              <w:t>-2021</w:t>
            </w:r>
          </w:p>
          <w:p w14:paraId="767D1D16" w14:textId="77777777" w:rsidR="005A1D05" w:rsidRPr="00325FC1" w:rsidRDefault="005A1D05" w:rsidP="005A1D0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i/>
                <w:iCs/>
                <w:color w:val="09223F"/>
                <w:sz w:val="22"/>
                <w:szCs w:val="22"/>
              </w:rPr>
              <w:t>Southwest Super Lawyers</w:t>
            </w:r>
            <w:r w:rsidRPr="00325FC1">
              <w:rPr>
                <w:rFonts w:ascii="Century Gothic Light" w:hAnsi="Century Gothic Light" w:cs="Century Gothic Light"/>
                <w:color w:val="09223F"/>
                <w:sz w:val="22"/>
                <w:szCs w:val="22"/>
                <w:vertAlign w:val="superscript"/>
              </w:rPr>
              <w:t>®</w:t>
            </w:r>
            <w:r w:rsidRPr="00325FC1">
              <w:rPr>
                <w:rFonts w:ascii="Century Gothic Light" w:hAnsi="Century Gothic Light" w:cs="Century Gothic Light"/>
                <w:i/>
                <w:iCs/>
                <w:color w:val="09223F"/>
                <w:sz w:val="22"/>
                <w:szCs w:val="22"/>
              </w:rPr>
              <w:t>,</w:t>
            </w:r>
            <w:r w:rsidRPr="00325FC1">
              <w:rPr>
                <w:rFonts w:ascii="Century Gothic Light" w:hAnsi="Century Gothic Light" w:cs="Century Gothic Light"/>
                <w:color w:val="09223F"/>
                <w:sz w:val="22"/>
                <w:szCs w:val="22"/>
              </w:rPr>
              <w:t xml:space="preserve"> Appellate and Utilities, 2007-202</w:t>
            </w:r>
            <w:r>
              <w:rPr>
                <w:rFonts w:ascii="Century Gothic Light" w:hAnsi="Century Gothic Light" w:cs="Century Gothic Light"/>
                <w:color w:val="09223F"/>
                <w:sz w:val="22"/>
                <w:szCs w:val="22"/>
              </w:rPr>
              <w:t>1</w:t>
            </w:r>
          </w:p>
          <w:p w14:paraId="2AECB3C9" w14:textId="77777777" w:rsidR="005C7C1A" w:rsidRPr="005C7C1A" w:rsidRDefault="005C7C1A" w:rsidP="005C7C1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C7C1A">
              <w:rPr>
                <w:rFonts w:ascii="Century Gothic Light" w:hAnsi="Century Gothic Light" w:cs="Century Gothic Light"/>
                <w:i/>
                <w:iCs/>
                <w:color w:val="09223F"/>
                <w:sz w:val="22"/>
                <w:szCs w:val="22"/>
              </w:rPr>
              <w:t>Best Lawyers in America</w:t>
            </w:r>
            <w:r w:rsidRPr="005C7C1A">
              <w:rPr>
                <w:rFonts w:ascii="Century Gothic Light" w:hAnsi="Century Gothic Light" w:cs="Century Gothic Light"/>
                <w:i/>
                <w:iCs/>
                <w:color w:val="09223F"/>
                <w:sz w:val="22"/>
                <w:szCs w:val="22"/>
                <w:vertAlign w:val="superscript"/>
              </w:rPr>
              <w:t>®</w:t>
            </w:r>
            <w:r w:rsidRPr="005C7C1A">
              <w:rPr>
                <w:rFonts w:ascii="Century Gothic Light" w:hAnsi="Century Gothic Light" w:cs="Century Gothic Light"/>
                <w:i/>
                <w:iCs/>
                <w:color w:val="09223F"/>
                <w:sz w:val="22"/>
                <w:szCs w:val="22"/>
              </w:rPr>
              <w:t>,</w:t>
            </w:r>
            <w:r w:rsidRPr="005C7C1A">
              <w:rPr>
                <w:rFonts w:ascii="Century Gothic Light" w:hAnsi="Century Gothic Light" w:cs="Century Gothic Light"/>
                <w:color w:val="09223F"/>
                <w:sz w:val="22"/>
                <w:szCs w:val="22"/>
              </w:rPr>
              <w:t> Appellate Practice, Communications Law, Energy Law, Litigation - Municipal, Litigation - Regulatory Enforcement (SEC, Telecom, Energy), Utilities Law, 2003-2021</w:t>
            </w:r>
          </w:p>
          <w:p w14:paraId="6CEF1B32" w14:textId="77777777" w:rsidR="00B105A4" w:rsidRPr="00325FC1" w:rsidRDefault="00B105A4" w:rsidP="00B105A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i/>
                <w:iCs/>
                <w:color w:val="09223F"/>
                <w:sz w:val="22"/>
                <w:szCs w:val="22"/>
              </w:rPr>
              <w:t>Best Lawyers in America</w:t>
            </w:r>
            <w:r w:rsidRPr="00325FC1">
              <w:rPr>
                <w:rFonts w:ascii="Century Gothic Light" w:hAnsi="Century Gothic Light" w:cs="Century Gothic Light"/>
                <w:i/>
                <w:iCs/>
                <w:color w:val="09223F"/>
                <w:sz w:val="22"/>
                <w:szCs w:val="22"/>
                <w:vertAlign w:val="superscript"/>
              </w:rPr>
              <w:t>®</w:t>
            </w:r>
            <w:r w:rsidRPr="00325FC1">
              <w:rPr>
                <w:rFonts w:ascii="Century Gothic Light" w:hAnsi="Century Gothic Light" w:cs="Century Gothic Light"/>
                <w:i/>
                <w:iCs/>
                <w:color w:val="09223F"/>
                <w:sz w:val="22"/>
                <w:szCs w:val="22"/>
              </w:rPr>
              <w:t>,</w:t>
            </w:r>
            <w:r w:rsidRPr="00325FC1">
              <w:rPr>
                <w:rFonts w:ascii="Century Gothic Light" w:hAnsi="Century Gothic Light" w:cs="Century Gothic Light"/>
                <w:color w:val="09223F"/>
                <w:sz w:val="22"/>
                <w:szCs w:val="22"/>
              </w:rPr>
              <w:t> Lawyer of the Year, Communications Law, 2020</w:t>
            </w:r>
          </w:p>
          <w:p w14:paraId="73D24731" w14:textId="3F10DB6D" w:rsidR="00325FC1" w:rsidRPr="00183498" w:rsidRDefault="00B105A4" w:rsidP="0018349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i/>
                <w:iCs/>
                <w:color w:val="09223F"/>
                <w:sz w:val="22"/>
                <w:szCs w:val="22"/>
              </w:rPr>
              <w:lastRenderedPageBreak/>
              <w:t>Best Lawyers in America</w:t>
            </w:r>
            <w:r w:rsidRPr="00325FC1">
              <w:rPr>
                <w:rFonts w:ascii="Century Gothic Light" w:hAnsi="Century Gothic Light" w:cs="Century Gothic Light"/>
                <w:color w:val="09223F"/>
                <w:sz w:val="22"/>
                <w:szCs w:val="22"/>
                <w:vertAlign w:val="superscript"/>
              </w:rPr>
              <w:t>®</w:t>
            </w:r>
            <w:r w:rsidRPr="00325FC1">
              <w:rPr>
                <w:rFonts w:ascii="Century Gothic Light" w:hAnsi="Century Gothic Light" w:cs="Century Gothic Light"/>
                <w:i/>
                <w:iCs/>
                <w:color w:val="09223F"/>
                <w:sz w:val="22"/>
                <w:szCs w:val="22"/>
              </w:rPr>
              <w:t>,</w:t>
            </w:r>
            <w:r w:rsidRPr="00325FC1">
              <w:rPr>
                <w:rFonts w:ascii="Century Gothic Light" w:hAnsi="Century Gothic Light" w:cs="Century Gothic Light"/>
                <w:color w:val="09223F"/>
                <w:sz w:val="22"/>
                <w:szCs w:val="22"/>
              </w:rPr>
              <w:t xml:space="preserve"> Lawyer of the Year, Litigation-Regulatory Enforcement (SEC, Telecom, Energy), 2012, 2015, 2017, 2020</w:t>
            </w:r>
          </w:p>
          <w:p w14:paraId="6FC28FAC" w14:textId="77777777" w:rsidR="00C44B6C" w:rsidRPr="00C44B6C" w:rsidRDefault="00C44B6C" w:rsidP="00C44B6C">
            <w:pPr>
              <w:pStyle w:val="ListParagraph"/>
              <w:numPr>
                <w:ilvl w:val="0"/>
                <w:numId w:val="1"/>
              </w:numPr>
              <w:rPr>
                <w:rFonts w:cs="Century Gothic Light"/>
                <w:color w:val="09223F"/>
              </w:rPr>
            </w:pPr>
            <w:r w:rsidRPr="00C44B6C">
              <w:rPr>
                <w:rFonts w:cs="Century Gothic Light"/>
                <w:color w:val="09223F"/>
              </w:rPr>
              <w:t>Top 100 Lawyers,</w:t>
            </w:r>
            <w:r w:rsidRPr="00C44B6C">
              <w:rPr>
                <w:rFonts w:cs="Century Gothic Light"/>
                <w:i/>
                <w:iCs/>
                <w:color w:val="09223F"/>
              </w:rPr>
              <w:t xml:space="preserve"> AZ Business Magazine</w:t>
            </w:r>
            <w:r w:rsidRPr="00C44B6C">
              <w:rPr>
                <w:rFonts w:cs="Century Gothic Light"/>
                <w:color w:val="09223F"/>
              </w:rPr>
              <w:t>, 2020</w:t>
            </w:r>
          </w:p>
          <w:p w14:paraId="664DA85E" w14:textId="23AFDB2A"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i/>
                <w:iCs/>
                <w:color w:val="09223F"/>
                <w:sz w:val="22"/>
                <w:szCs w:val="22"/>
              </w:rPr>
              <w:t>Southwest Super Lawyers</w:t>
            </w:r>
            <w:r w:rsidRPr="00325FC1">
              <w:rPr>
                <w:rFonts w:ascii="Century Gothic Light" w:hAnsi="Century Gothic Light" w:cs="Century Gothic Light"/>
                <w:color w:val="09223F"/>
                <w:sz w:val="22"/>
                <w:szCs w:val="22"/>
                <w:vertAlign w:val="superscript"/>
              </w:rPr>
              <w:t>®</w:t>
            </w:r>
            <w:r w:rsidRPr="00325FC1">
              <w:rPr>
                <w:rFonts w:ascii="Century Gothic Light" w:hAnsi="Century Gothic Light" w:cs="Century Gothic Light"/>
                <w:i/>
                <w:iCs/>
                <w:color w:val="09223F"/>
                <w:sz w:val="22"/>
                <w:szCs w:val="22"/>
              </w:rPr>
              <w:t>,</w:t>
            </w:r>
            <w:r w:rsidRPr="00325FC1">
              <w:rPr>
                <w:rFonts w:ascii="Century Gothic Light" w:hAnsi="Century Gothic Light" w:cs="Century Gothic Light"/>
                <w:color w:val="09223F"/>
                <w:sz w:val="22"/>
                <w:szCs w:val="22"/>
              </w:rPr>
              <w:t> Top 50 Arizona Super Lawyers, 2012-2013, 2015-2016, 2020</w:t>
            </w:r>
          </w:p>
          <w:p w14:paraId="40305155" w14:textId="04B8CC5E"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i/>
                <w:iCs/>
                <w:color w:val="09223F"/>
                <w:sz w:val="22"/>
                <w:szCs w:val="22"/>
              </w:rPr>
              <w:t>Best Lawyers in America</w:t>
            </w:r>
            <w:r w:rsidRPr="00325FC1">
              <w:rPr>
                <w:rFonts w:ascii="Century Gothic Light" w:hAnsi="Century Gothic Light" w:cs="Century Gothic Light"/>
                <w:color w:val="09223F"/>
                <w:sz w:val="22"/>
                <w:szCs w:val="22"/>
                <w:vertAlign w:val="superscript"/>
              </w:rPr>
              <w:t>®</w:t>
            </w:r>
            <w:r w:rsidRPr="00325FC1">
              <w:rPr>
                <w:rFonts w:ascii="Century Gothic Light" w:hAnsi="Century Gothic Light" w:cs="Century Gothic Light"/>
                <w:i/>
                <w:iCs/>
                <w:color w:val="09223F"/>
                <w:sz w:val="22"/>
                <w:szCs w:val="22"/>
              </w:rPr>
              <w:t>,</w:t>
            </w:r>
            <w:r w:rsidRPr="00325FC1">
              <w:rPr>
                <w:rFonts w:ascii="Century Gothic Light" w:hAnsi="Century Gothic Light" w:cs="Century Gothic Light"/>
                <w:color w:val="09223F"/>
                <w:sz w:val="22"/>
                <w:szCs w:val="22"/>
              </w:rPr>
              <w:t> Lawyer of the Year, Appellate Practice, 2018</w:t>
            </w:r>
          </w:p>
          <w:p w14:paraId="18ACFFAD" w14:textId="349A4E91"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i/>
                <w:iCs/>
                <w:color w:val="09223F"/>
                <w:sz w:val="22"/>
                <w:szCs w:val="22"/>
              </w:rPr>
              <w:t>Best Lawyers in America</w:t>
            </w:r>
            <w:r w:rsidRPr="00325FC1">
              <w:rPr>
                <w:rFonts w:ascii="Century Gothic Light" w:hAnsi="Century Gothic Light" w:cs="Century Gothic Light"/>
                <w:color w:val="09223F"/>
                <w:sz w:val="22"/>
                <w:szCs w:val="22"/>
                <w:vertAlign w:val="superscript"/>
              </w:rPr>
              <w:t>®</w:t>
            </w:r>
            <w:r w:rsidRPr="00325FC1">
              <w:rPr>
                <w:rFonts w:ascii="Century Gothic Light" w:hAnsi="Century Gothic Light" w:cs="Century Gothic Light"/>
                <w:i/>
                <w:iCs/>
                <w:color w:val="09223F"/>
                <w:sz w:val="22"/>
                <w:szCs w:val="22"/>
              </w:rPr>
              <w:t>,</w:t>
            </w:r>
            <w:r w:rsidRPr="00325FC1">
              <w:rPr>
                <w:rFonts w:ascii="Century Gothic Light" w:hAnsi="Century Gothic Light" w:cs="Century Gothic Light"/>
                <w:color w:val="09223F"/>
                <w:sz w:val="22"/>
                <w:szCs w:val="22"/>
              </w:rPr>
              <w:t> Lawyer of the Year, Litigation - Municipal, 2014, 2016</w:t>
            </w:r>
          </w:p>
          <w:p w14:paraId="3FD94280"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i/>
                <w:iCs/>
                <w:color w:val="09223F"/>
                <w:sz w:val="22"/>
                <w:szCs w:val="22"/>
              </w:rPr>
              <w:t>Benchmark:</w:t>
            </w:r>
            <w:r w:rsidRPr="00325FC1">
              <w:rPr>
                <w:rFonts w:ascii="Century Gothic Light" w:hAnsi="Century Gothic Light" w:cs="Century Gothic Light"/>
                <w:color w:val="09223F"/>
                <w:sz w:val="22"/>
                <w:szCs w:val="22"/>
              </w:rPr>
              <w:t xml:space="preserve"> Appellate, Leading Appellate Practitioner, Ninth Circuit, 2012-2013</w:t>
            </w:r>
          </w:p>
          <w:p w14:paraId="0CD8FA40"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Most Admired CEO Award recipient - </w:t>
            </w:r>
            <w:r w:rsidRPr="00325FC1">
              <w:rPr>
                <w:rFonts w:ascii="Century Gothic Light" w:hAnsi="Century Gothic Light" w:cs="Century Gothic Light"/>
                <w:i/>
                <w:iCs/>
                <w:color w:val="09223F"/>
                <w:sz w:val="22"/>
                <w:szCs w:val="22"/>
              </w:rPr>
              <w:t>Phoenix Business Journal,</w:t>
            </w:r>
            <w:r w:rsidRPr="00325FC1">
              <w:rPr>
                <w:rFonts w:ascii="Century Gothic Light" w:hAnsi="Century Gothic Light" w:cs="Century Gothic Light"/>
                <w:color w:val="09223F"/>
                <w:sz w:val="22"/>
                <w:szCs w:val="22"/>
              </w:rPr>
              <w:t xml:space="preserve"> 2012</w:t>
            </w:r>
          </w:p>
          <w:p w14:paraId="7B05233E"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Arizona's Best Lawyers, Appellate Practice and Commercial Litigation, 2011</w:t>
            </w:r>
          </w:p>
          <w:p w14:paraId="0F25F1FE" w14:textId="5F2B93BF"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i/>
                <w:iCs/>
                <w:color w:val="09223F"/>
                <w:sz w:val="22"/>
                <w:szCs w:val="22"/>
              </w:rPr>
              <w:t>Best Lawyers</w:t>
            </w:r>
            <w:r w:rsidRPr="00325FC1">
              <w:rPr>
                <w:rFonts w:ascii="Century Gothic Light" w:hAnsi="Century Gothic Light" w:cs="Century Gothic Light"/>
                <w:color w:val="09223F"/>
                <w:sz w:val="22"/>
                <w:szCs w:val="22"/>
                <w:vertAlign w:val="superscript"/>
              </w:rPr>
              <w:t>®</w:t>
            </w:r>
            <w:r w:rsidRPr="00325FC1">
              <w:rPr>
                <w:rFonts w:ascii="Century Gothic Light" w:hAnsi="Century Gothic Light" w:cs="Century Gothic Light"/>
                <w:i/>
                <w:iCs/>
                <w:color w:val="09223F"/>
                <w:sz w:val="22"/>
                <w:szCs w:val="22"/>
              </w:rPr>
              <w:t>,</w:t>
            </w:r>
            <w:r w:rsidRPr="00325FC1">
              <w:rPr>
                <w:rFonts w:ascii="Century Gothic Light" w:hAnsi="Century Gothic Light" w:cs="Century Gothic Light"/>
                <w:color w:val="09223F"/>
                <w:sz w:val="22"/>
                <w:szCs w:val="22"/>
              </w:rPr>
              <w:t xml:space="preserve"> Lawyer of the Year, Appellate Law, 2011</w:t>
            </w:r>
          </w:p>
          <w:p w14:paraId="3DC1697A"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Distinguished Citizen Award, University of Arizona Alumni Association, 2001</w:t>
            </w:r>
          </w:p>
          <w:p w14:paraId="3FF83CBF" w14:textId="77777777" w:rsidR="00325FC1"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Selected, AZ Business Leaders - Law - Environmental, </w:t>
            </w:r>
            <w:r w:rsidRPr="00325FC1">
              <w:rPr>
                <w:rFonts w:ascii="Century Gothic Light" w:hAnsi="Century Gothic Light" w:cs="Century Gothic Light"/>
                <w:i/>
                <w:iCs/>
                <w:color w:val="09223F"/>
                <w:sz w:val="22"/>
                <w:szCs w:val="22"/>
              </w:rPr>
              <w:t>AZ Big Media</w:t>
            </w:r>
          </w:p>
          <w:p w14:paraId="41877DC3" w14:textId="05DADAB3" w:rsidR="009366B8" w:rsidRPr="00325FC1" w:rsidRDefault="00325FC1" w:rsidP="00325FC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25FC1">
              <w:rPr>
                <w:rFonts w:ascii="Century Gothic Light" w:hAnsi="Century Gothic Light" w:cs="Century Gothic Light"/>
                <w:color w:val="09223F"/>
                <w:sz w:val="22"/>
                <w:szCs w:val="22"/>
              </w:rPr>
              <w:t>AV</w:t>
            </w:r>
            <w:r w:rsidRPr="00325FC1">
              <w:rPr>
                <w:rFonts w:ascii="Century Gothic Light" w:hAnsi="Century Gothic Light" w:cs="Century Gothic Light"/>
                <w:color w:val="09223F"/>
                <w:sz w:val="22"/>
                <w:szCs w:val="22"/>
                <w:vertAlign w:val="superscript"/>
              </w:rPr>
              <w:t>®</w:t>
            </w:r>
            <w:r w:rsidRPr="00325FC1">
              <w:rPr>
                <w:rFonts w:ascii="Century Gothic Light" w:hAnsi="Century Gothic Light" w:cs="Century Gothic Light"/>
                <w:color w:val="09223F"/>
                <w:sz w:val="22"/>
                <w:szCs w:val="22"/>
              </w:rPr>
              <w:t> Preeminent™ Peer Review Rated (the highest rating available), by Martindale-Hubbell</w:t>
            </w:r>
            <w:r>
              <w:rPr>
                <w:rFonts w:ascii="Century Gothic Light" w:hAnsi="Century Gothic Light" w:cs="Century Gothic Light"/>
                <w:color w:val="09223F"/>
                <w:sz w:val="22"/>
                <w:szCs w:val="22"/>
              </w:rPr>
              <w:t xml:space="preserve"> </w:t>
            </w:r>
          </w:p>
        </w:tc>
      </w:tr>
      <w:tr w:rsidR="009366B8" w14:paraId="49425BC0" w14:textId="77777777" w:rsidTr="008F5DD7">
        <w:trPr>
          <w:trHeight w:val="288"/>
        </w:trPr>
        <w:tc>
          <w:tcPr>
            <w:tcW w:w="10299" w:type="dxa"/>
          </w:tcPr>
          <w:p w14:paraId="477AB36E" w14:textId="77777777" w:rsidR="009366B8" w:rsidRPr="008F5DD7" w:rsidRDefault="009366B8" w:rsidP="00996259">
            <w:pPr>
              <w:pStyle w:val="BasicParagraph"/>
              <w:rPr>
                <w:rFonts w:ascii="Century Gothic Light" w:hAnsi="Century Gothic Light" w:cs="Century Gothic Light"/>
                <w:caps/>
                <w:color w:val="F5821F"/>
                <w:szCs w:val="28"/>
              </w:rPr>
            </w:pPr>
          </w:p>
        </w:tc>
      </w:tr>
      <w:tr w:rsidR="00996259" w14:paraId="0BA99737" w14:textId="77777777" w:rsidTr="008F5DD7">
        <w:trPr>
          <w:trHeight w:val="576"/>
        </w:trPr>
        <w:tc>
          <w:tcPr>
            <w:tcW w:w="10299" w:type="dxa"/>
          </w:tcPr>
          <w:p w14:paraId="210A75EF" w14:textId="73C68FC7" w:rsidR="00996259" w:rsidRPr="00996259" w:rsidRDefault="00AE1C23" w:rsidP="00996259">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articles and presentations</w:t>
            </w:r>
          </w:p>
          <w:p w14:paraId="3E8496E4" w14:textId="77777777" w:rsidR="00DB0BDE" w:rsidRPr="00DB0BDE" w:rsidRDefault="00DB0BDE" w:rsidP="00DB0BD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B0BDE">
              <w:rPr>
                <w:rFonts w:ascii="Century Gothic Light" w:hAnsi="Century Gothic Light" w:cs="Century Gothic Light"/>
                <w:color w:val="09223F"/>
                <w:sz w:val="22"/>
                <w:szCs w:val="22"/>
              </w:rPr>
              <w:t>Quoted, "What Is the Purpose of the Preamble to the Constitution," </w:t>
            </w:r>
            <w:proofErr w:type="spellStart"/>
            <w:r w:rsidRPr="00DB0BDE">
              <w:rPr>
                <w:rFonts w:ascii="Century Gothic Light" w:hAnsi="Century Gothic Light" w:cs="Century Gothic Light"/>
                <w:i/>
                <w:iCs/>
                <w:color w:val="09223F"/>
                <w:sz w:val="22"/>
                <w:szCs w:val="22"/>
              </w:rPr>
              <w:t>UpJourney</w:t>
            </w:r>
            <w:proofErr w:type="spellEnd"/>
            <w:r w:rsidRPr="00DB0BDE">
              <w:rPr>
                <w:rFonts w:ascii="Century Gothic Light" w:hAnsi="Century Gothic Light" w:cs="Century Gothic Light"/>
                <w:color w:val="09223F"/>
                <w:sz w:val="22"/>
                <w:szCs w:val="22"/>
              </w:rPr>
              <w:t>, April 19, 2021</w:t>
            </w:r>
          </w:p>
          <w:p w14:paraId="29E1B0E1" w14:textId="7E63A8F3" w:rsidR="00EE407D" w:rsidRDefault="00EE407D" w:rsidP="000D220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E407D">
              <w:rPr>
                <w:rFonts w:ascii="Century Gothic Light" w:hAnsi="Century Gothic Light" w:cs="Century Gothic Light"/>
                <w:color w:val="09223F"/>
                <w:sz w:val="22"/>
                <w:szCs w:val="22"/>
              </w:rPr>
              <w:t>Quoted, "What is the Electoral College and how does it work?" Today, October 8, 2020</w:t>
            </w:r>
          </w:p>
          <w:p w14:paraId="487D595B" w14:textId="752BBC3F" w:rsidR="000D2207" w:rsidRPr="000D2207" w:rsidRDefault="000D2207" w:rsidP="000D220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D2207">
              <w:rPr>
                <w:rFonts w:ascii="Century Gothic Light" w:hAnsi="Century Gothic Light" w:cs="Century Gothic Light"/>
                <w:color w:val="09223F"/>
                <w:sz w:val="22"/>
                <w:szCs w:val="22"/>
              </w:rPr>
              <w:t xml:space="preserve">Quoted, "Supreme Court Refuses to Hear Arizona Rental Car Tax Lawsuit," </w:t>
            </w:r>
            <w:r w:rsidRPr="000D2207">
              <w:rPr>
                <w:rFonts w:ascii="Century Gothic Light" w:hAnsi="Century Gothic Light" w:cs="Century Gothic Light"/>
                <w:i/>
                <w:iCs/>
                <w:color w:val="09223F"/>
                <w:sz w:val="22"/>
                <w:szCs w:val="22"/>
              </w:rPr>
              <w:t>Phoenix Business Journal</w:t>
            </w:r>
            <w:r w:rsidRPr="000D2207">
              <w:rPr>
                <w:rFonts w:ascii="Century Gothic Light" w:hAnsi="Century Gothic Light" w:cs="Century Gothic Light"/>
                <w:color w:val="09223F"/>
                <w:sz w:val="22"/>
                <w:szCs w:val="22"/>
              </w:rPr>
              <w:t>, October 7, 2019</w:t>
            </w:r>
          </w:p>
          <w:p w14:paraId="0BD9CE28" w14:textId="77777777" w:rsidR="000D2207" w:rsidRPr="000D2207" w:rsidRDefault="000D2207" w:rsidP="000D220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D2207">
              <w:rPr>
                <w:rFonts w:ascii="Century Gothic Light" w:hAnsi="Century Gothic Light" w:cs="Century Gothic Light"/>
                <w:color w:val="09223F"/>
                <w:sz w:val="22"/>
                <w:szCs w:val="22"/>
              </w:rPr>
              <w:t xml:space="preserve">Quoted, "Judge Denies State's Request to Let 'Dark Money' Law Stand During Appeal," </w:t>
            </w:r>
            <w:r w:rsidRPr="000D2207">
              <w:rPr>
                <w:rFonts w:ascii="Century Gothic Light" w:hAnsi="Century Gothic Light" w:cs="Century Gothic Light"/>
                <w:i/>
                <w:iCs/>
                <w:color w:val="09223F"/>
                <w:sz w:val="22"/>
                <w:szCs w:val="22"/>
              </w:rPr>
              <w:t>Arizona Capitol Times,</w:t>
            </w:r>
            <w:r w:rsidRPr="000D2207">
              <w:rPr>
                <w:rFonts w:ascii="Century Gothic Light" w:hAnsi="Century Gothic Light" w:cs="Century Gothic Light"/>
                <w:color w:val="09223F"/>
                <w:sz w:val="22"/>
                <w:szCs w:val="22"/>
              </w:rPr>
              <w:t xml:space="preserve"> August 5, 2019</w:t>
            </w:r>
          </w:p>
          <w:p w14:paraId="3DC67CB1" w14:textId="77777777" w:rsidR="000D2207" w:rsidRPr="000D2207" w:rsidRDefault="000D2207" w:rsidP="000D220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D2207">
              <w:rPr>
                <w:rFonts w:ascii="Century Gothic Light" w:hAnsi="Century Gothic Light" w:cs="Century Gothic Light"/>
                <w:color w:val="09223F"/>
                <w:sz w:val="22"/>
                <w:szCs w:val="22"/>
              </w:rPr>
              <w:t>Speaker, "Splitting Circuits: Past Results and Present Prospects," 2018 AAAL Fall Meeting, October 5, 2018</w:t>
            </w:r>
          </w:p>
          <w:p w14:paraId="02AA79EE" w14:textId="77777777" w:rsidR="000D2207" w:rsidRPr="000D2207" w:rsidRDefault="000D2207" w:rsidP="000D220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D2207">
              <w:rPr>
                <w:rFonts w:ascii="Century Gothic Light" w:hAnsi="Century Gothic Light" w:cs="Century Gothic Light"/>
                <w:color w:val="09223F"/>
                <w:sz w:val="22"/>
                <w:szCs w:val="22"/>
              </w:rPr>
              <w:t xml:space="preserve">Co-author, "Be Aware of Changes to Phoenix's Rules for Lobbyists," </w:t>
            </w:r>
            <w:r w:rsidRPr="000D2207">
              <w:rPr>
                <w:rFonts w:ascii="Century Gothic Light" w:hAnsi="Century Gothic Light" w:cs="Century Gothic Light"/>
                <w:i/>
                <w:iCs/>
                <w:color w:val="09223F"/>
                <w:sz w:val="22"/>
                <w:szCs w:val="22"/>
              </w:rPr>
              <w:t>The Arizona Republic</w:t>
            </w:r>
            <w:r w:rsidRPr="000D2207">
              <w:rPr>
                <w:rFonts w:ascii="Century Gothic Light" w:hAnsi="Century Gothic Light" w:cs="Century Gothic Light"/>
                <w:color w:val="09223F"/>
                <w:sz w:val="22"/>
                <w:szCs w:val="22"/>
              </w:rPr>
              <w:t>, October 25, 2017</w:t>
            </w:r>
          </w:p>
          <w:p w14:paraId="61145AF4" w14:textId="77777777" w:rsidR="000D2207" w:rsidRPr="000D2207" w:rsidRDefault="000D2207" w:rsidP="000D220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D2207">
              <w:rPr>
                <w:rFonts w:ascii="Century Gothic Light" w:hAnsi="Century Gothic Light" w:cs="Century Gothic Light"/>
                <w:color w:val="09223F"/>
                <w:sz w:val="22"/>
                <w:szCs w:val="22"/>
              </w:rPr>
              <w:t xml:space="preserve">Co-author, "Uniform Law Commission," </w:t>
            </w:r>
            <w:r w:rsidRPr="000D2207">
              <w:rPr>
                <w:rFonts w:ascii="Century Gothic Light" w:hAnsi="Century Gothic Light" w:cs="Century Gothic Light"/>
                <w:i/>
                <w:iCs/>
                <w:color w:val="09223F"/>
                <w:sz w:val="22"/>
                <w:szCs w:val="22"/>
              </w:rPr>
              <w:t>Arizona Attorney</w:t>
            </w:r>
            <w:r w:rsidRPr="000D2207">
              <w:rPr>
                <w:rFonts w:ascii="Century Gothic Light" w:hAnsi="Century Gothic Light" w:cs="Century Gothic Light"/>
                <w:color w:val="09223F"/>
                <w:sz w:val="22"/>
                <w:szCs w:val="22"/>
              </w:rPr>
              <w:t>, November 2016</w:t>
            </w:r>
          </w:p>
          <w:p w14:paraId="64F22506" w14:textId="77777777" w:rsidR="000D2207" w:rsidRPr="00B779C2" w:rsidRDefault="000D2207" w:rsidP="000D2207">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0D2207">
              <w:rPr>
                <w:rFonts w:ascii="Century Gothic Light" w:hAnsi="Century Gothic Light" w:cs="Century Gothic Light"/>
                <w:color w:val="09223F"/>
                <w:sz w:val="22"/>
                <w:szCs w:val="22"/>
              </w:rPr>
              <w:t xml:space="preserve">Author, "Attorneys' Fees on Appeal, Chapter Nine," </w:t>
            </w:r>
            <w:r w:rsidRPr="00B779C2">
              <w:rPr>
                <w:rFonts w:ascii="Century Gothic Light" w:hAnsi="Century Gothic Light" w:cs="Century Gothic Light"/>
                <w:i/>
                <w:iCs/>
                <w:color w:val="09223F"/>
                <w:sz w:val="22"/>
                <w:szCs w:val="22"/>
              </w:rPr>
              <w:t xml:space="preserve">Arizona </w:t>
            </w:r>
            <w:proofErr w:type="spellStart"/>
            <w:r w:rsidRPr="00B779C2">
              <w:rPr>
                <w:rFonts w:ascii="Century Gothic Light" w:hAnsi="Century Gothic Light" w:cs="Century Gothic Light"/>
                <w:i/>
                <w:iCs/>
                <w:color w:val="09223F"/>
                <w:sz w:val="22"/>
                <w:szCs w:val="22"/>
              </w:rPr>
              <w:t>Attorneys</w:t>
            </w:r>
            <w:proofErr w:type="spellEnd"/>
            <w:r w:rsidRPr="00B779C2">
              <w:rPr>
                <w:rFonts w:ascii="Century Gothic Light" w:hAnsi="Century Gothic Light" w:cs="Century Gothic Light"/>
                <w:i/>
                <w:iCs/>
                <w:color w:val="09223F"/>
                <w:sz w:val="22"/>
                <w:szCs w:val="22"/>
              </w:rPr>
              <w:t xml:space="preserve"> Fees Manual, 3d Ed.</w:t>
            </w:r>
          </w:p>
          <w:p w14:paraId="4E5E1DC9" w14:textId="3883349E" w:rsidR="00996259" w:rsidRPr="000D2207" w:rsidRDefault="000D2207" w:rsidP="000D220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D2207">
              <w:rPr>
                <w:rFonts w:ascii="Century Gothic Light" w:hAnsi="Century Gothic Light" w:cs="Century Gothic Light"/>
                <w:color w:val="09223F"/>
                <w:sz w:val="22"/>
                <w:szCs w:val="22"/>
              </w:rPr>
              <w:t xml:space="preserve">Author, "Attorneys' Fees," Chapter Eleven, </w:t>
            </w:r>
            <w:r w:rsidRPr="00B779C2">
              <w:rPr>
                <w:rFonts w:ascii="Century Gothic Light" w:hAnsi="Century Gothic Light" w:cs="Century Gothic Light"/>
                <w:i/>
                <w:iCs/>
                <w:color w:val="09223F"/>
                <w:sz w:val="22"/>
                <w:szCs w:val="22"/>
              </w:rPr>
              <w:t>Arizona Appellate Handbook, Vol. I, 3d and 4th Edition</w:t>
            </w:r>
          </w:p>
        </w:tc>
      </w:tr>
      <w:tr w:rsidR="004B0FA7" w14:paraId="3CEAA202" w14:textId="77777777" w:rsidTr="008F5DD7">
        <w:trPr>
          <w:trHeight w:val="288"/>
        </w:trPr>
        <w:tc>
          <w:tcPr>
            <w:tcW w:w="10299" w:type="dxa"/>
          </w:tcPr>
          <w:p w14:paraId="422FC022" w14:textId="77777777" w:rsidR="004B0FA7" w:rsidRPr="00CD2894" w:rsidRDefault="004B0FA7" w:rsidP="00996259">
            <w:pPr>
              <w:pStyle w:val="BasicParagraph"/>
              <w:rPr>
                <w:rFonts w:ascii="Century Gothic Light" w:hAnsi="Century Gothic Light" w:cs="Century Gothic Light"/>
                <w:caps/>
                <w:color w:val="F5821F"/>
                <w:szCs w:val="36"/>
              </w:rPr>
            </w:pPr>
          </w:p>
        </w:tc>
      </w:tr>
      <w:tr w:rsidR="009366B8" w14:paraId="56A5FAD6" w14:textId="77777777" w:rsidTr="008F5DD7">
        <w:trPr>
          <w:trHeight w:val="288"/>
        </w:trPr>
        <w:tc>
          <w:tcPr>
            <w:tcW w:w="10299" w:type="dxa"/>
          </w:tcPr>
          <w:p w14:paraId="47AFA681" w14:textId="43AB1338" w:rsidR="009366B8" w:rsidRPr="00996259" w:rsidRDefault="009366B8" w:rsidP="009366B8">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14:paraId="184C265D" w14:textId="77777777" w:rsidR="00B779C2" w:rsidRPr="00B779C2" w:rsidRDefault="00B779C2" w:rsidP="00B779C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79C2">
              <w:rPr>
                <w:rFonts w:ascii="Century Gothic Light" w:hAnsi="Century Gothic Light" w:cs="Century Gothic Light"/>
                <w:color w:val="09223F"/>
                <w:sz w:val="22"/>
                <w:szCs w:val="22"/>
              </w:rPr>
              <w:t>Member, State Bar of Arizona</w:t>
            </w:r>
          </w:p>
          <w:p w14:paraId="3C687DC6" w14:textId="77777777" w:rsidR="00B779C2" w:rsidRPr="00B779C2" w:rsidRDefault="00B779C2" w:rsidP="00B779C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79C2">
              <w:rPr>
                <w:rFonts w:ascii="Century Gothic Light" w:hAnsi="Century Gothic Light" w:cs="Century Gothic Light"/>
                <w:color w:val="09223F"/>
                <w:sz w:val="22"/>
                <w:szCs w:val="22"/>
              </w:rPr>
              <w:t>Co-Chair, Arizona Equal Justice Campaign</w:t>
            </w:r>
          </w:p>
          <w:p w14:paraId="0FADF36B" w14:textId="77777777" w:rsidR="00B779C2" w:rsidRPr="00B779C2" w:rsidRDefault="00B779C2" w:rsidP="00B779C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79C2">
              <w:rPr>
                <w:rFonts w:ascii="Century Gothic Light" w:hAnsi="Century Gothic Light" w:cs="Century Gothic Light"/>
                <w:color w:val="09223F"/>
                <w:sz w:val="22"/>
                <w:szCs w:val="22"/>
              </w:rPr>
              <w:t>Member, Greater Phoenix Leadership</w:t>
            </w:r>
          </w:p>
          <w:p w14:paraId="1F600539" w14:textId="77777777" w:rsidR="00B779C2" w:rsidRPr="00B779C2" w:rsidRDefault="00B779C2" w:rsidP="00B779C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79C2">
              <w:rPr>
                <w:rFonts w:ascii="Century Gothic Light" w:hAnsi="Century Gothic Light" w:cs="Century Gothic Light"/>
                <w:color w:val="09223F"/>
                <w:sz w:val="22"/>
                <w:szCs w:val="22"/>
              </w:rPr>
              <w:t>Member, Maricopa County Bar Association</w:t>
            </w:r>
          </w:p>
          <w:p w14:paraId="41B51BC5" w14:textId="77777777" w:rsidR="00B779C2" w:rsidRPr="00B779C2" w:rsidRDefault="00B779C2" w:rsidP="00B779C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79C2">
              <w:rPr>
                <w:rFonts w:ascii="Century Gothic Light" w:hAnsi="Century Gothic Light" w:cs="Century Gothic Light"/>
                <w:color w:val="09223F"/>
                <w:sz w:val="22"/>
                <w:szCs w:val="22"/>
              </w:rPr>
              <w:t>Chair, Arizona Commission on Uniform State Laws</w:t>
            </w:r>
          </w:p>
          <w:p w14:paraId="5BF73A05" w14:textId="77777777" w:rsidR="00B779C2" w:rsidRPr="00B779C2" w:rsidRDefault="00B779C2" w:rsidP="00B779C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79C2">
              <w:rPr>
                <w:rFonts w:ascii="Century Gothic Light" w:hAnsi="Century Gothic Light" w:cs="Century Gothic Light"/>
                <w:color w:val="09223F"/>
                <w:sz w:val="22"/>
                <w:szCs w:val="22"/>
              </w:rPr>
              <w:t>Member, Appellate Handbook Committee, State Bar of Arizona</w:t>
            </w:r>
          </w:p>
          <w:p w14:paraId="3679A969" w14:textId="77777777" w:rsidR="00B779C2" w:rsidRPr="00B779C2" w:rsidRDefault="00B779C2" w:rsidP="00B779C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79C2">
              <w:rPr>
                <w:rFonts w:ascii="Century Gothic Light" w:hAnsi="Century Gothic Light" w:cs="Century Gothic Light"/>
                <w:color w:val="09223F"/>
                <w:sz w:val="22"/>
                <w:szCs w:val="22"/>
              </w:rPr>
              <w:t>Member, Board of Directors, Arizona Law College Association</w:t>
            </w:r>
          </w:p>
          <w:p w14:paraId="7464E194" w14:textId="77777777" w:rsidR="00B779C2" w:rsidRPr="00B779C2" w:rsidRDefault="00B779C2" w:rsidP="00B779C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79C2">
              <w:rPr>
                <w:rFonts w:ascii="Century Gothic Light" w:hAnsi="Century Gothic Light" w:cs="Century Gothic Light"/>
                <w:color w:val="09223F"/>
                <w:sz w:val="22"/>
                <w:szCs w:val="22"/>
              </w:rPr>
              <w:t>Past Chair, Board of Directors, Herberger Theater Center</w:t>
            </w:r>
          </w:p>
          <w:p w14:paraId="5D2EF30F" w14:textId="77777777" w:rsidR="00B779C2" w:rsidRPr="00B779C2" w:rsidRDefault="00B779C2" w:rsidP="00B779C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79C2">
              <w:rPr>
                <w:rFonts w:ascii="Century Gothic Light" w:hAnsi="Century Gothic Light" w:cs="Century Gothic Light"/>
                <w:color w:val="09223F"/>
                <w:sz w:val="22"/>
                <w:szCs w:val="22"/>
              </w:rPr>
              <w:t>Past President, American Academy of Appellate Lawyers</w:t>
            </w:r>
          </w:p>
          <w:p w14:paraId="6D2F6FDF" w14:textId="77777777" w:rsidR="00B779C2" w:rsidRPr="00B779C2" w:rsidRDefault="00B779C2" w:rsidP="00B779C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79C2">
              <w:rPr>
                <w:rFonts w:ascii="Century Gothic Light" w:hAnsi="Century Gothic Light" w:cs="Century Gothic Light"/>
                <w:color w:val="09223F"/>
                <w:sz w:val="22"/>
                <w:szCs w:val="22"/>
              </w:rPr>
              <w:t>Past Member, Executive Committee, National Conference of Commissioners on Uniform State Laws</w:t>
            </w:r>
          </w:p>
          <w:p w14:paraId="25CD78F4" w14:textId="4FE3ADA7" w:rsidR="009366B8" w:rsidRPr="009366B8" w:rsidRDefault="00B779C2" w:rsidP="00B779C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779C2">
              <w:rPr>
                <w:rFonts w:ascii="Century Gothic Light" w:hAnsi="Century Gothic Light" w:cs="Century Gothic Light"/>
                <w:color w:val="09223F"/>
                <w:sz w:val="22"/>
                <w:szCs w:val="22"/>
              </w:rPr>
              <w:t>Past Member, Board of Trustees, Maricopa County Bar Foundation</w:t>
            </w:r>
          </w:p>
        </w:tc>
      </w:tr>
      <w:tr w:rsidR="009366B8" w14:paraId="38546B52" w14:textId="77777777" w:rsidTr="008F5DD7">
        <w:trPr>
          <w:trHeight w:val="288"/>
        </w:trPr>
        <w:tc>
          <w:tcPr>
            <w:tcW w:w="10299" w:type="dxa"/>
          </w:tcPr>
          <w:p w14:paraId="3EB81D9A" w14:textId="77777777" w:rsidR="009366B8" w:rsidRPr="00CD2894" w:rsidRDefault="009366B8" w:rsidP="00996259">
            <w:pPr>
              <w:pStyle w:val="BasicParagraph"/>
              <w:rPr>
                <w:rFonts w:ascii="Century Gothic Light" w:hAnsi="Century Gothic Light" w:cs="Century Gothic Light"/>
                <w:caps/>
                <w:color w:val="F5821F"/>
                <w:szCs w:val="36"/>
              </w:rPr>
            </w:pPr>
          </w:p>
        </w:tc>
      </w:tr>
      <w:tr w:rsidR="00996259" w14:paraId="37A27DBA" w14:textId="77777777" w:rsidTr="008F5DD7">
        <w:trPr>
          <w:trHeight w:val="195"/>
        </w:trPr>
        <w:tc>
          <w:tcPr>
            <w:tcW w:w="10299" w:type="dxa"/>
          </w:tcPr>
          <w:p w14:paraId="0239EEB1"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14:paraId="19BCB813" w14:textId="77777777" w:rsidR="00333AD5" w:rsidRPr="00333AD5" w:rsidRDefault="00333AD5" w:rsidP="00333AD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3AD5">
              <w:rPr>
                <w:rFonts w:ascii="Century Gothic Light" w:hAnsi="Century Gothic Light" w:cs="Century Gothic Light"/>
                <w:color w:val="09223F"/>
                <w:sz w:val="22"/>
                <w:szCs w:val="22"/>
              </w:rPr>
              <w:t>Arizona</w:t>
            </w:r>
          </w:p>
          <w:p w14:paraId="77EE839F" w14:textId="77777777" w:rsidR="00333AD5" w:rsidRPr="00333AD5" w:rsidRDefault="00333AD5" w:rsidP="00333AD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3AD5">
              <w:rPr>
                <w:rFonts w:ascii="Century Gothic Light" w:hAnsi="Century Gothic Light" w:cs="Century Gothic Light"/>
                <w:color w:val="09223F"/>
                <w:sz w:val="22"/>
                <w:szCs w:val="22"/>
              </w:rPr>
              <w:t>Arizona Supreme Court</w:t>
            </w:r>
          </w:p>
          <w:p w14:paraId="143C58FC" w14:textId="77777777" w:rsidR="00333AD5" w:rsidRPr="00333AD5" w:rsidRDefault="00333AD5" w:rsidP="00333AD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3AD5">
              <w:rPr>
                <w:rFonts w:ascii="Century Gothic Light" w:hAnsi="Century Gothic Light" w:cs="Century Gothic Light"/>
                <w:color w:val="09223F"/>
                <w:sz w:val="22"/>
                <w:szCs w:val="22"/>
              </w:rPr>
              <w:t>U.S. District Court, District of Arizona</w:t>
            </w:r>
          </w:p>
          <w:p w14:paraId="6A2E7683" w14:textId="77777777" w:rsidR="00333AD5" w:rsidRPr="00333AD5" w:rsidRDefault="00333AD5" w:rsidP="00333AD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3AD5">
              <w:rPr>
                <w:rFonts w:ascii="Century Gothic Light" w:hAnsi="Century Gothic Light" w:cs="Century Gothic Light"/>
                <w:color w:val="09223F"/>
                <w:sz w:val="22"/>
                <w:szCs w:val="22"/>
              </w:rPr>
              <w:t>U.S. Court of Appeals, D.C. Circuit</w:t>
            </w:r>
          </w:p>
          <w:p w14:paraId="13857DEC" w14:textId="77777777" w:rsidR="00333AD5" w:rsidRPr="00333AD5" w:rsidRDefault="00333AD5" w:rsidP="00333AD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3AD5">
              <w:rPr>
                <w:rFonts w:ascii="Century Gothic Light" w:hAnsi="Century Gothic Light" w:cs="Century Gothic Light"/>
                <w:color w:val="09223F"/>
                <w:sz w:val="22"/>
                <w:szCs w:val="22"/>
              </w:rPr>
              <w:t>U.S. Court of Appeals, Federal Circuit</w:t>
            </w:r>
          </w:p>
          <w:p w14:paraId="033C83A8" w14:textId="77777777" w:rsidR="00333AD5" w:rsidRPr="00333AD5" w:rsidRDefault="00333AD5" w:rsidP="00333AD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3AD5">
              <w:rPr>
                <w:rFonts w:ascii="Century Gothic Light" w:hAnsi="Century Gothic Light" w:cs="Century Gothic Light"/>
                <w:color w:val="09223F"/>
                <w:sz w:val="22"/>
                <w:szCs w:val="22"/>
              </w:rPr>
              <w:t>U.S. Court of Appeals, Second Circuit</w:t>
            </w:r>
          </w:p>
          <w:p w14:paraId="43936AFE" w14:textId="77777777" w:rsidR="00333AD5" w:rsidRPr="00333AD5" w:rsidRDefault="00333AD5" w:rsidP="00333AD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3AD5">
              <w:rPr>
                <w:rFonts w:ascii="Century Gothic Light" w:hAnsi="Century Gothic Light" w:cs="Century Gothic Light"/>
                <w:color w:val="09223F"/>
                <w:sz w:val="22"/>
                <w:szCs w:val="22"/>
              </w:rPr>
              <w:lastRenderedPageBreak/>
              <w:t>U.S. Court of Appeals, Fifth Circuit</w:t>
            </w:r>
          </w:p>
          <w:p w14:paraId="097C7D80" w14:textId="77777777" w:rsidR="00333AD5" w:rsidRPr="00333AD5" w:rsidRDefault="00333AD5" w:rsidP="00333AD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3AD5">
              <w:rPr>
                <w:rFonts w:ascii="Century Gothic Light" w:hAnsi="Century Gothic Light" w:cs="Century Gothic Light"/>
                <w:color w:val="09223F"/>
                <w:sz w:val="22"/>
                <w:szCs w:val="22"/>
              </w:rPr>
              <w:t>U.S. Court of Appeals, Ninth Circuit</w:t>
            </w:r>
          </w:p>
          <w:p w14:paraId="07E75F36" w14:textId="77777777" w:rsidR="00333AD5" w:rsidRPr="00333AD5" w:rsidRDefault="00333AD5" w:rsidP="00333AD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3AD5">
              <w:rPr>
                <w:rFonts w:ascii="Century Gothic Light" w:hAnsi="Century Gothic Light" w:cs="Century Gothic Light"/>
                <w:color w:val="09223F"/>
                <w:sz w:val="22"/>
                <w:szCs w:val="22"/>
              </w:rPr>
              <w:t>U.S. Court of Appeals, Tenth Circuit</w:t>
            </w:r>
          </w:p>
          <w:p w14:paraId="044073AE" w14:textId="523C4793" w:rsidR="005501CE" w:rsidRPr="00D3611B" w:rsidRDefault="00333AD5" w:rsidP="00333AD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333AD5">
              <w:rPr>
                <w:rFonts w:ascii="Century Gothic Light" w:hAnsi="Century Gothic Light" w:cs="Century Gothic Light"/>
                <w:color w:val="09223F"/>
                <w:sz w:val="22"/>
                <w:szCs w:val="22"/>
              </w:rPr>
              <w:t>U.S. Court of Appeals, Eleventh Circuit</w:t>
            </w:r>
          </w:p>
        </w:tc>
      </w:tr>
    </w:tbl>
    <w:p w14:paraId="6FBE2627" w14:textId="77777777" w:rsidR="008700A0" w:rsidRDefault="008700A0" w:rsidP="008700A0"/>
    <w:sectPr w:rsidR="008700A0" w:rsidSect="00FB06C0">
      <w:headerReference w:type="default" r:id="rId7"/>
      <w:headerReference w:type="first" r:id="rId8"/>
      <w:pgSz w:w="12240" w:h="15840"/>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B1BA3" w14:textId="77777777" w:rsidR="00FB14E9" w:rsidRDefault="00FB14E9" w:rsidP="008700A0">
      <w:pPr>
        <w:spacing w:after="0" w:line="240" w:lineRule="auto"/>
      </w:pPr>
      <w:r>
        <w:separator/>
      </w:r>
    </w:p>
  </w:endnote>
  <w:endnote w:type="continuationSeparator" w:id="0">
    <w:p w14:paraId="6BCDADAB" w14:textId="77777777" w:rsidR="00FB14E9" w:rsidRDefault="00FB14E9" w:rsidP="0087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5F9DBF" w14:textId="77777777" w:rsidR="00FB14E9" w:rsidRDefault="00FB14E9" w:rsidP="008700A0">
      <w:pPr>
        <w:spacing w:after="0" w:line="240" w:lineRule="auto"/>
      </w:pPr>
      <w:r>
        <w:separator/>
      </w:r>
    </w:p>
  </w:footnote>
  <w:footnote w:type="continuationSeparator" w:id="0">
    <w:p w14:paraId="1A22E535" w14:textId="77777777" w:rsidR="00FB14E9" w:rsidRDefault="00FB14E9" w:rsidP="00870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9623" w14:textId="77777777" w:rsidR="008700A0" w:rsidRDefault="008700A0">
    <w:pPr>
      <w:pStyle w:val="Header"/>
    </w:pPr>
    <w:r>
      <w:rPr>
        <w:noProof/>
      </w:rPr>
      <w:drawing>
        <wp:anchor distT="0" distB="0" distL="114300" distR="114300" simplePos="0" relativeHeight="251659264" behindDoc="1" locked="0" layoutInCell="1" allowOverlap="1" wp14:anchorId="575A1DE1" wp14:editId="065884BD">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734CC" w14:textId="77777777" w:rsidR="008700A0" w:rsidRDefault="008700A0">
    <w:pPr>
      <w:pStyle w:val="Header"/>
    </w:pPr>
    <w:r>
      <w:rPr>
        <w:noProof/>
      </w:rPr>
      <w:drawing>
        <wp:anchor distT="0" distB="0" distL="114300" distR="114300" simplePos="0" relativeHeight="251658240" behindDoc="1" locked="0" layoutInCell="1" allowOverlap="1" wp14:anchorId="26867CE0" wp14:editId="65DF8666">
          <wp:simplePos x="0" y="0"/>
          <wp:positionH relativeFrom="margin">
            <wp:posOffset>-457200</wp:posOffset>
          </wp:positionH>
          <wp:positionV relativeFrom="margin">
            <wp:posOffset>-467360</wp:posOffset>
          </wp:positionV>
          <wp:extent cx="7772360" cy="10058347"/>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60" cy="1005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070967"/>
    <w:multiLevelType w:val="hybridMultilevel"/>
    <w:tmpl w:val="D99C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30ADE"/>
    <w:multiLevelType w:val="multilevel"/>
    <w:tmpl w:val="37BE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F22FA"/>
    <w:multiLevelType w:val="hybridMultilevel"/>
    <w:tmpl w:val="162C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03282"/>
    <w:multiLevelType w:val="multilevel"/>
    <w:tmpl w:val="B5B6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DE395C"/>
    <w:multiLevelType w:val="multilevel"/>
    <w:tmpl w:val="7C7C2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587FDD"/>
    <w:multiLevelType w:val="multilevel"/>
    <w:tmpl w:val="0676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D10C05"/>
    <w:multiLevelType w:val="multilevel"/>
    <w:tmpl w:val="94AC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3C0FEB"/>
    <w:multiLevelType w:val="multilevel"/>
    <w:tmpl w:val="A0EE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EF590F"/>
    <w:multiLevelType w:val="multilevel"/>
    <w:tmpl w:val="DA64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185BCE"/>
    <w:multiLevelType w:val="multilevel"/>
    <w:tmpl w:val="6C46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5C3957"/>
    <w:multiLevelType w:val="multilevel"/>
    <w:tmpl w:val="03E0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0D63C0"/>
    <w:multiLevelType w:val="hybridMultilevel"/>
    <w:tmpl w:val="F15271C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4" w15:restartNumberingAfterBreak="0">
    <w:nsid w:val="56792F5D"/>
    <w:multiLevelType w:val="multilevel"/>
    <w:tmpl w:val="A4BE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437553"/>
    <w:multiLevelType w:val="multilevel"/>
    <w:tmpl w:val="7220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D47CE0"/>
    <w:multiLevelType w:val="multilevel"/>
    <w:tmpl w:val="D7D8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AE4FFE"/>
    <w:multiLevelType w:val="hybridMultilevel"/>
    <w:tmpl w:val="73D8B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5B75DF"/>
    <w:multiLevelType w:val="multilevel"/>
    <w:tmpl w:val="9900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134E01"/>
    <w:multiLevelType w:val="multilevel"/>
    <w:tmpl w:val="9CCC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4"/>
  </w:num>
  <w:num w:numId="3">
    <w:abstractNumId w:val="13"/>
  </w:num>
  <w:num w:numId="4">
    <w:abstractNumId w:val="2"/>
  </w:num>
  <w:num w:numId="5">
    <w:abstractNumId w:val="3"/>
  </w:num>
  <w:num w:numId="6">
    <w:abstractNumId w:val="15"/>
  </w:num>
  <w:num w:numId="7">
    <w:abstractNumId w:val="14"/>
  </w:num>
  <w:num w:numId="8">
    <w:abstractNumId w:val="12"/>
  </w:num>
  <w:num w:numId="9">
    <w:abstractNumId w:val="7"/>
  </w:num>
  <w:num w:numId="10">
    <w:abstractNumId w:val="9"/>
  </w:num>
  <w:num w:numId="11">
    <w:abstractNumId w:val="16"/>
  </w:num>
  <w:num w:numId="12">
    <w:abstractNumId w:val="8"/>
  </w:num>
  <w:num w:numId="13">
    <w:abstractNumId w:val="1"/>
  </w:num>
  <w:num w:numId="14">
    <w:abstractNumId w:val="18"/>
  </w:num>
  <w:num w:numId="15">
    <w:abstractNumId w:val="19"/>
  </w:num>
  <w:num w:numId="16">
    <w:abstractNumId w:val="10"/>
  </w:num>
  <w:num w:numId="17">
    <w:abstractNumId w:val="11"/>
  </w:num>
  <w:num w:numId="18">
    <w:abstractNumId w:val="0"/>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60DFD"/>
    <w:rsid w:val="00096C56"/>
    <w:rsid w:val="000B29E6"/>
    <w:rsid w:val="000D2207"/>
    <w:rsid w:val="0011357F"/>
    <w:rsid w:val="001138EA"/>
    <w:rsid w:val="00117BDE"/>
    <w:rsid w:val="00183498"/>
    <w:rsid w:val="002548B5"/>
    <w:rsid w:val="00266E0F"/>
    <w:rsid w:val="00312CFC"/>
    <w:rsid w:val="00325FC1"/>
    <w:rsid w:val="00333AD5"/>
    <w:rsid w:val="00375BFD"/>
    <w:rsid w:val="003A3AE9"/>
    <w:rsid w:val="00474450"/>
    <w:rsid w:val="004B0FA7"/>
    <w:rsid w:val="00510724"/>
    <w:rsid w:val="00515DE9"/>
    <w:rsid w:val="005501CE"/>
    <w:rsid w:val="005741D6"/>
    <w:rsid w:val="00587218"/>
    <w:rsid w:val="00590A25"/>
    <w:rsid w:val="005A1D05"/>
    <w:rsid w:val="005C7C1A"/>
    <w:rsid w:val="005F080B"/>
    <w:rsid w:val="00617B93"/>
    <w:rsid w:val="00655093"/>
    <w:rsid w:val="007A2A63"/>
    <w:rsid w:val="007A4716"/>
    <w:rsid w:val="007E0671"/>
    <w:rsid w:val="007F5739"/>
    <w:rsid w:val="00815FBD"/>
    <w:rsid w:val="00841578"/>
    <w:rsid w:val="008700A0"/>
    <w:rsid w:val="008D168A"/>
    <w:rsid w:val="008F0AFE"/>
    <w:rsid w:val="008F5DD7"/>
    <w:rsid w:val="009067C3"/>
    <w:rsid w:val="009366B8"/>
    <w:rsid w:val="00937844"/>
    <w:rsid w:val="00996259"/>
    <w:rsid w:val="00A44AD9"/>
    <w:rsid w:val="00A51833"/>
    <w:rsid w:val="00AB20C4"/>
    <w:rsid w:val="00AE1C23"/>
    <w:rsid w:val="00B105A4"/>
    <w:rsid w:val="00B72FCC"/>
    <w:rsid w:val="00B779C2"/>
    <w:rsid w:val="00BA5277"/>
    <w:rsid w:val="00C44B6C"/>
    <w:rsid w:val="00CD2894"/>
    <w:rsid w:val="00D3611B"/>
    <w:rsid w:val="00DB0BDE"/>
    <w:rsid w:val="00DE4410"/>
    <w:rsid w:val="00E10978"/>
    <w:rsid w:val="00E4405C"/>
    <w:rsid w:val="00E51AB5"/>
    <w:rsid w:val="00ED2D47"/>
    <w:rsid w:val="00EE407D"/>
    <w:rsid w:val="00EE7F20"/>
    <w:rsid w:val="00F23DC3"/>
    <w:rsid w:val="00F627E1"/>
    <w:rsid w:val="00F87B62"/>
    <w:rsid w:val="00FB06C0"/>
    <w:rsid w:val="00FB1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eastAsiaTheme="minorHAnsi" w:hAnsi="Century Gothic Light"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customStyle="1" w:styleId="Heading1Char">
    <w:name w:val="Heading 1 Char"/>
    <w:basedOn w:val="DefaultParagraphFont"/>
    <w:link w:val="Heading1"/>
    <w:uiPriority w:val="9"/>
    <w:rsid w:val="005501CE"/>
    <w:rPr>
      <w:rFonts w:ascii="Century Gothic Light" w:eastAsiaTheme="majorEastAsia" w:hAnsi="Century Gothic Light"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C44B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998195343">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6581590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754625200">
      <w:bodyDiv w:val="1"/>
      <w:marLeft w:val="0"/>
      <w:marRight w:val="0"/>
      <w:marTop w:val="0"/>
      <w:marBottom w:val="0"/>
      <w:divBdr>
        <w:top w:val="none" w:sz="0" w:space="0" w:color="auto"/>
        <w:left w:val="none" w:sz="0" w:space="0" w:color="auto"/>
        <w:bottom w:val="none" w:sz="0" w:space="0" w:color="auto"/>
        <w:right w:val="none" w:sz="0" w:space="0" w:color="auto"/>
      </w:divBdr>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11762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1418</Words>
  <Characters>8084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ESME</dc:creator>
  <cp:keywords/>
  <dc:description/>
  <cp:lastModifiedBy>Bates, Finessa</cp:lastModifiedBy>
  <cp:revision>15</cp:revision>
  <cp:lastPrinted>2020-08-11T17:52:00Z</cp:lastPrinted>
  <dcterms:created xsi:type="dcterms:W3CDTF">2020-08-11T19:12:00Z</dcterms:created>
  <dcterms:modified xsi:type="dcterms:W3CDTF">2022-01-21T00:31:00Z</dcterms:modified>
</cp:coreProperties>
</file>