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427EC8D1" w14:paraId="3E2643B7" w14:textId="77777777">
        <w:trPr>
          <w:trHeight w:val="579"/>
        </w:trPr>
        <w:tc>
          <w:tcPr>
            <w:tcW w:w="10299" w:type="dxa"/>
            <w:tcMar/>
          </w:tcPr>
          <w:p w:rsidRPr="00733A23" w:rsidR="00733A23" w:rsidP="00733A23" w:rsidRDefault="00733A23" w14:paraId="28C5AB7E" w14:textId="77777777">
            <w:pPr>
              <w:rPr>
                <w:rFonts w:cs="Century Gothic Light"/>
                <w:color w:val="09223F"/>
              </w:rPr>
            </w:pPr>
            <w:r w:rsidRPr="00733A23">
              <w:rPr>
                <w:rFonts w:cs="Century Gothic Light"/>
                <w:color w:val="09223F"/>
              </w:rPr>
              <w:t>Kevin practices in the area of construction law and commercial litigation, including real estate litigation and bankruptcy matters.</w:t>
            </w:r>
          </w:p>
          <w:p w:rsidRPr="00733A23" w:rsidR="00733A23" w:rsidP="00733A23" w:rsidRDefault="00733A23" w14:paraId="4250DBD0" w14:textId="77777777">
            <w:pPr>
              <w:rPr>
                <w:rFonts w:cs="Century Gothic Light"/>
                <w:color w:val="09223F"/>
              </w:rPr>
            </w:pPr>
          </w:p>
          <w:p w:rsidRPr="00733A23" w:rsidR="00733A23" w:rsidP="00733A23" w:rsidRDefault="00733A23" w14:paraId="330D88A4" w14:textId="256C648C">
            <w:pPr>
              <w:rPr>
                <w:rFonts w:cs="Century Gothic Light"/>
                <w:color w:val="09223F"/>
              </w:rPr>
            </w:pPr>
            <w:r w:rsidRPr="00733A23">
              <w:rPr>
                <w:rFonts w:cs="Century Gothic Light"/>
                <w:color w:val="09223F"/>
              </w:rPr>
              <w:t xml:space="preserve">He advises </w:t>
            </w:r>
            <w:r w:rsidRPr="00DA2CC2" w:rsidR="00DA2CC2">
              <w:rPr>
                <w:rFonts w:cs="Century Gothic Light"/>
                <w:color w:val="09223F"/>
              </w:rPr>
              <w:t>commercial property owners</w:t>
            </w:r>
            <w:r w:rsidR="00DA2CC2">
              <w:rPr>
                <w:rFonts w:cs="Century Gothic Light"/>
                <w:color w:val="09223F"/>
              </w:rPr>
              <w:t xml:space="preserve">, </w:t>
            </w:r>
            <w:r w:rsidRPr="00733A23">
              <w:rPr>
                <w:rFonts w:cs="Century Gothic Light"/>
                <w:color w:val="09223F"/>
              </w:rPr>
              <w:t>contractors and design professionals regarding construction laws and issues, and has substantial experience in construction litigation. Kevin has represented commercial owners, contractors, design professionals homebuilders and homeowners in disputes involving private and public contracts, lien disputes, construction and design defects and other issues. He has negotiated and drafted contracts for</w:t>
            </w:r>
            <w:r w:rsidR="00DA2CC2">
              <w:rPr>
                <w:rFonts w:cs="Century Gothic Light"/>
                <w:color w:val="09223F"/>
              </w:rPr>
              <w:t xml:space="preserve"> </w:t>
            </w:r>
            <w:r w:rsidRPr="00DA2CC2" w:rsidR="00DA2CC2">
              <w:rPr>
                <w:rFonts w:cs="Century Gothic Light"/>
                <w:color w:val="09223F"/>
              </w:rPr>
              <w:t xml:space="preserve">commercial property owners and </w:t>
            </w:r>
            <w:r w:rsidRPr="00733A23">
              <w:rPr>
                <w:rFonts w:cs="Century Gothic Light"/>
                <w:color w:val="09223F"/>
              </w:rPr>
              <w:t xml:space="preserve"> construction industry professionals and acted as outside general counsel for contractors and design professionals. He also advises commercial property owners and developers to resolve real estate disputes.</w:t>
            </w:r>
          </w:p>
          <w:p w:rsidRPr="00733A23" w:rsidR="00733A23" w:rsidP="00733A23" w:rsidRDefault="00733A23" w14:paraId="293FB965" w14:textId="77777777">
            <w:pPr>
              <w:rPr>
                <w:rFonts w:cs="Century Gothic Light"/>
                <w:color w:val="09223F"/>
              </w:rPr>
            </w:pPr>
          </w:p>
          <w:p w:rsidR="008700A0" w:rsidP="00733A23" w:rsidRDefault="00733A23" w14:paraId="39C10D41" w14:textId="0CB82BEA">
            <w:r w:rsidRPr="00733A23">
              <w:rPr>
                <w:rFonts w:cs="Century Gothic Light"/>
                <w:color w:val="09223F"/>
              </w:rPr>
              <w:t>Kevin has successfully handled bench and jury trials, arbitration hearings, administrative hearings before the Registrar of Contractors, and appeals before the Arizona Court of Appeals, the Arizona Supreme Court, the Sixth Circuit Court of Appeals and the Ninth Circuit Court of Appeals.</w:t>
            </w:r>
          </w:p>
        </w:tc>
      </w:tr>
      <w:tr w:rsidR="008700A0" w:rsidTr="427EC8D1"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427EC8D1" w14:paraId="42185E66" w14:textId="77777777">
        <w:trPr>
          <w:trHeight w:val="62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733A23" w:rsidR="00733A23" w:rsidP="00733A23" w:rsidRDefault="00733A23" w14:paraId="6A5501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 xml:space="preserve">J.D., </w:t>
            </w:r>
            <w:r w:rsidRPr="00733A23">
              <w:rPr>
                <w:rFonts w:ascii="Century Gothic Light" w:hAnsi="Century Gothic Light" w:cs="Century Gothic Light"/>
                <w:i/>
                <w:iCs/>
                <w:color w:val="09223F"/>
                <w:sz w:val="22"/>
                <w:szCs w:val="22"/>
              </w:rPr>
              <w:t>cum laude,</w:t>
            </w:r>
            <w:r w:rsidRPr="00733A23">
              <w:rPr>
                <w:rFonts w:ascii="Century Gothic Light" w:hAnsi="Century Gothic Light" w:cs="Century Gothic Light"/>
                <w:color w:val="09223F"/>
                <w:sz w:val="22"/>
                <w:szCs w:val="22"/>
              </w:rPr>
              <w:t xml:space="preserve"> University of Michigan Law School</w:t>
            </w:r>
          </w:p>
          <w:p w:rsidRPr="00733A23" w:rsidR="00733A23" w:rsidP="00733A23" w:rsidRDefault="00733A23" w14:paraId="5A1C56E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proofErr w:type="spellStart"/>
            <w:r w:rsidRPr="00733A23">
              <w:rPr>
                <w:rFonts w:ascii="Century Gothic Light" w:hAnsi="Century Gothic Light" w:cs="Century Gothic Light"/>
                <w:color w:val="09223F"/>
                <w:sz w:val="22"/>
                <w:szCs w:val="22"/>
              </w:rPr>
              <w:t>B.S.A</w:t>
            </w:r>
            <w:proofErr w:type="spellEnd"/>
            <w:r w:rsidRPr="00733A23">
              <w:rPr>
                <w:rFonts w:ascii="Century Gothic Light" w:hAnsi="Century Gothic Light" w:cs="Century Gothic Light"/>
                <w:color w:val="09223F"/>
                <w:sz w:val="22"/>
                <w:szCs w:val="22"/>
              </w:rPr>
              <w:t>., University of Michigan-Dearborn</w:t>
            </w:r>
          </w:p>
          <w:p w:rsidRPr="00325FC1" w:rsidR="00AB20C4" w:rsidP="00733A23" w:rsidRDefault="00733A23" w14:noSpellErr="1" w14:paraId="3A55E90A" w14:textId="4BB46FA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27EC8D1" w:rsidR="427EC8D1">
              <w:rPr>
                <w:rFonts w:ascii="Century Gothic Light" w:hAnsi="Century Gothic Light" w:cs="Century Gothic Light"/>
                <w:color w:val="09223F"/>
                <w:sz w:val="22"/>
                <w:szCs w:val="22"/>
              </w:rPr>
              <w:t xml:space="preserve">Contributing Editor, </w:t>
            </w:r>
            <w:r w:rsidRPr="427EC8D1" w:rsidR="427EC8D1">
              <w:rPr>
                <w:rFonts w:ascii="Century Gothic Light" w:hAnsi="Century Gothic Light" w:cs="Century Gothic Light"/>
                <w:i w:val="1"/>
                <w:iCs w:val="1"/>
                <w:color w:val="09223F"/>
                <w:sz w:val="22"/>
                <w:szCs w:val="22"/>
              </w:rPr>
              <w:t>Michigan Journal of Law Reform</w:t>
            </w:r>
          </w:p>
          <w:p w:rsidRPr="00325FC1" w:rsidR="00AB20C4" w:rsidP="427EC8D1" w:rsidRDefault="00733A23" w14:paraId="10F8C329" w14:textId="00650501">
            <w:pPr>
              <w:pStyle w:val="BasicParagraph"/>
              <w:suppressAutoHyphens/>
              <w:spacing w:line="240" w:lineRule="auto"/>
              <w:rPr>
                <w:rFonts w:ascii="MinionPro-Regular" w:hAnsi="MinionPro-Regular" w:eastAsia="Calibri" w:cs="MinionPro-Regular"/>
                <w:i w:val="1"/>
                <w:iCs w:val="1"/>
                <w:color w:val="000000"/>
                <w:sz w:val="24"/>
                <w:szCs w:val="24"/>
              </w:rPr>
            </w:pPr>
          </w:p>
          <w:p w:rsidRPr="00325FC1" w:rsidR="00AB20C4" w:rsidP="427EC8D1" w:rsidRDefault="00733A23" w14:paraId="6BF8F9A7" w14:textId="0729A613">
            <w:pPr>
              <w:pStyle w:val="BasicParagraph"/>
              <w:suppressAutoHyphens/>
              <w:spacing w:line="240" w:lineRule="auto"/>
              <w:rPr>
                <w:rFonts w:ascii="Century Gothic Light" w:hAnsi="Century Gothic Light" w:cs="Century Gothic Light"/>
                <w:caps w:val="1"/>
                <w:color w:val="F5821F"/>
                <w:sz w:val="28"/>
                <w:szCs w:val="28"/>
              </w:rPr>
            </w:pPr>
            <w:r w:rsidRPr="427EC8D1" w:rsidR="427EC8D1">
              <w:rPr>
                <w:rFonts w:ascii="Century Gothic Light" w:hAnsi="Century Gothic Light" w:cs="Century Gothic Light"/>
                <w:caps w:val="1"/>
                <w:color w:val="F5821F"/>
                <w:sz w:val="28"/>
                <w:szCs w:val="28"/>
              </w:rPr>
              <w:t>ARTICLES AND PRESENTATION</w:t>
            </w:r>
          </w:p>
          <w:p w:rsidRPr="00325FC1" w:rsidR="00AB20C4" w:rsidP="427EC8D1" w:rsidRDefault="00733A23" w14:paraId="0F4DE742" w14:textId="13D30474">
            <w:pPr>
              <w:pStyle w:val="ListParagraph"/>
              <w:numPr>
                <w:ilvl w:val="0"/>
                <w:numId w:val="1"/>
              </w:numPr>
              <w:suppressAutoHyphens/>
              <w:spacing w:line="240" w:lineRule="auto"/>
              <w:rPr>
                <w:rFonts w:ascii="Century Gothic Light" w:hAnsi="Century Gothic Light" w:eastAsia="Century Gothic Light" w:cs="Century Gothic Light"/>
                <w:color w:val="002F6C" w:themeColor="accent1" w:themeTint="FF" w:themeShade="FF"/>
                <w:sz w:val="22"/>
                <w:szCs w:val="22"/>
              </w:rPr>
            </w:pPr>
            <w:r w:rsidRPr="427EC8D1" w:rsidR="427EC8D1">
              <w:rPr>
                <w:noProof w:val="0"/>
                <w:lang w:val="en-US"/>
              </w:rPr>
              <w:t xml:space="preserve">Quoted, "Feds Seek Win </w:t>
            </w:r>
            <w:proofErr w:type="gramStart"/>
            <w:r w:rsidRPr="427EC8D1" w:rsidR="427EC8D1">
              <w:rPr>
                <w:noProof w:val="0"/>
                <w:lang w:val="en-US"/>
              </w:rPr>
              <w:t>For</w:t>
            </w:r>
            <w:proofErr w:type="gramEnd"/>
            <w:r w:rsidRPr="427EC8D1" w:rsidR="427EC8D1">
              <w:rPr>
                <w:noProof w:val="0"/>
                <w:lang w:val="en-US"/>
              </w:rPr>
              <w:t xml:space="preserve"> Ariz. Apache Tribe </w:t>
            </w:r>
            <w:proofErr w:type="gramStart"/>
            <w:r w:rsidRPr="427EC8D1" w:rsidR="427EC8D1">
              <w:rPr>
                <w:noProof w:val="0"/>
                <w:lang w:val="en-US"/>
              </w:rPr>
              <w:t>In</w:t>
            </w:r>
            <w:proofErr w:type="gramEnd"/>
            <w:r w:rsidRPr="427EC8D1" w:rsidR="427EC8D1">
              <w:rPr>
                <w:noProof w:val="0"/>
                <w:lang w:val="en-US"/>
              </w:rPr>
              <w:t xml:space="preserve"> Gila River Water War," Law360, March 7, 2022</w:t>
            </w:r>
          </w:p>
          <w:p w:rsidRPr="00325FC1" w:rsidR="00AB20C4" w:rsidP="427EC8D1" w:rsidRDefault="00733A23" w14:paraId="3BF85D19" w14:textId="1BBC0F1D">
            <w:pPr>
              <w:pStyle w:val="BasicParagraph"/>
              <w:suppressAutoHyphens/>
              <w:spacing w:line="240" w:lineRule="auto"/>
              <w:rPr>
                <w:rFonts w:ascii="MinionPro-Regular" w:hAnsi="MinionPro-Regular" w:eastAsia="Calibri" w:cs="MinionPro-Regular"/>
                <w:i w:val="1"/>
                <w:iCs w:val="1"/>
                <w:color w:val="000000"/>
                <w:sz w:val="24"/>
                <w:szCs w:val="24"/>
              </w:rPr>
            </w:pPr>
          </w:p>
        </w:tc>
      </w:tr>
      <w:tr w:rsidR="00DE4410" w:rsidTr="427EC8D1"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427EC8D1"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0E9" w14:paraId="2FD63DE2" w14:textId="77777777">
              <w:tc>
                <w:tcPr>
                  <w:tcW w:w="5036" w:type="dxa"/>
                </w:tcPr>
                <w:p w:rsidR="00217188" w:rsidP="00DA2CC2" w:rsidRDefault="00733A23" w14:paraId="70EB7D4B" w14:textId="50A4787E">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00733A23" w:rsidP="00DA2CC2" w:rsidRDefault="00733A23" w14:paraId="736F5EEE"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Commercial Contingency Litigation</w:t>
                  </w:r>
                </w:p>
                <w:p w:rsidRPr="009366B8" w:rsidR="00733A23" w:rsidP="00DA2CC2" w:rsidRDefault="00733A23" w14:paraId="53698C71" w14:textId="747FCC9E">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Construction Law</w:t>
                  </w:r>
                </w:p>
              </w:tc>
              <w:tc>
                <w:tcPr>
                  <w:tcW w:w="5037" w:type="dxa"/>
                </w:tcPr>
                <w:p w:rsidR="00733A23" w:rsidP="00DA2CC2" w:rsidRDefault="00733A23" w14:paraId="140969D3" w14:textId="6ED0E1CF">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Financial Restructuring, Bankruptcy and Creditors’ Rights</w:t>
                  </w:r>
                </w:p>
                <w:p w:rsidRPr="00733A23" w:rsidR="00733A23" w:rsidP="00DA2CC2" w:rsidRDefault="00733A23" w14:paraId="22A85BCB" w14:textId="02DB9582">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Real Estate Litigation</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5501CE" w:rsidTr="427EC8D1" w14:paraId="47FA36BC" w14:textId="77777777">
        <w:trPr>
          <w:trHeight w:val="288"/>
        </w:trPr>
        <w:tc>
          <w:tcPr>
            <w:tcW w:w="10299" w:type="dxa"/>
            <w:tcMar/>
          </w:tcPr>
          <w:p w:rsidRPr="008F5DD7" w:rsidR="005501CE" w:rsidP="00996259" w:rsidRDefault="005501CE" w14:paraId="31DEB609" w14:textId="77777777">
            <w:pPr>
              <w:pStyle w:val="BasicParagraph"/>
              <w:rPr>
                <w:rFonts w:ascii="Century Gothic Light" w:hAnsi="Century Gothic Light" w:cs="Century Gothic Light"/>
                <w:caps/>
                <w:color w:val="F5821F"/>
                <w:szCs w:val="28"/>
              </w:rPr>
            </w:pPr>
          </w:p>
        </w:tc>
      </w:tr>
      <w:tr w:rsidR="00295769" w:rsidTr="427EC8D1" w14:paraId="28823C53" w14:textId="77777777">
        <w:trPr>
          <w:trHeight w:val="288"/>
        </w:trPr>
        <w:tc>
          <w:tcPr>
            <w:tcW w:w="10299" w:type="dxa"/>
            <w:tcMar/>
          </w:tcPr>
          <w:p w:rsidRPr="00996259" w:rsidR="00295769" w:rsidP="00295769" w:rsidRDefault="00295769" w14:paraId="49B737A3" w14:textId="76737A10">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 xml:space="preserve">Representative </w:t>
            </w:r>
            <w:r w:rsidR="00733A23">
              <w:rPr>
                <w:rFonts w:ascii="Century Gothic Light" w:hAnsi="Century Gothic Light" w:cs="Century Gothic Light"/>
                <w:caps/>
                <w:color w:val="F5821F"/>
                <w:sz w:val="28"/>
                <w:szCs w:val="32"/>
              </w:rPr>
              <w:t>cases</w:t>
            </w:r>
          </w:p>
          <w:p w:rsidRPr="00733A23" w:rsidR="00733A23" w:rsidP="00733A23" w:rsidRDefault="00733A23" w14:paraId="1BEA9D4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lastRenderedPageBreak/>
              <w:t>Represented general contractor in multi-million dollar matter arising out of a power plant fire.</w:t>
            </w:r>
          </w:p>
          <w:p w:rsidRPr="00733A23" w:rsidR="00733A23" w:rsidP="00733A23" w:rsidRDefault="00733A23" w14:paraId="12A1AC0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Represented owner of cement plant in multi-million dollar construction cost overrun matter.</w:t>
            </w:r>
          </w:p>
          <w:p w:rsidRPr="00733A23" w:rsidR="00733A23" w:rsidP="00733A23" w:rsidRDefault="00733A23" w14:paraId="5F524C1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Obtained $5 million arbitration award for highway contractor in dispute with public owner.</w:t>
            </w:r>
          </w:p>
          <w:p w:rsidRPr="00733A23" w:rsidR="00733A23" w:rsidP="00733A23" w:rsidRDefault="00733A23" w14:paraId="733DA7E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Obtained $1 million arbitration award for contractor in payment/ defect dispute with owner.</w:t>
            </w:r>
          </w:p>
          <w:p w:rsidRPr="00733A23" w:rsidR="00733A23" w:rsidP="00733A23" w:rsidRDefault="00733A23" w14:paraId="1F5F46C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Obtained summary judgment for national homebuilder in multi-million dollar construction defect case.</w:t>
            </w:r>
          </w:p>
          <w:p w:rsidRPr="00733A23" w:rsidR="00733A23" w:rsidP="00733A23" w:rsidRDefault="00733A23" w14:paraId="252BDFF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Negotiated favorable settlement for national homebuilder in class action construction defect case.</w:t>
            </w:r>
          </w:p>
          <w:p w:rsidRPr="00733A23" w:rsidR="00733A23" w:rsidP="00733A23" w:rsidRDefault="00733A23" w14:paraId="1F3B069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Obtained $2 million settlement for commercial building owner in construction defect/breach of contract case.</w:t>
            </w:r>
          </w:p>
          <w:p w:rsidRPr="00733A23" w:rsidR="00733A23" w:rsidP="00733A23" w:rsidRDefault="00733A23" w14:paraId="36792AE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Representing general contractors in claims disputes against public owners.</w:t>
            </w:r>
          </w:p>
          <w:p w:rsidRPr="00733A23" w:rsidR="00733A23" w:rsidP="00733A23" w:rsidRDefault="00733A23" w14:paraId="6170659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 xml:space="preserve">Representing general </w:t>
            </w:r>
            <w:proofErr w:type="spellStart"/>
            <w:r w:rsidRPr="00733A23">
              <w:rPr>
                <w:rFonts w:ascii="Century Gothic Light" w:hAnsi="Century Gothic Light" w:cs="Century Gothic Light"/>
                <w:color w:val="09223F"/>
                <w:sz w:val="22"/>
                <w:szCs w:val="22"/>
              </w:rPr>
              <w:t>contactors</w:t>
            </w:r>
            <w:proofErr w:type="spellEnd"/>
            <w:r w:rsidRPr="00733A23">
              <w:rPr>
                <w:rFonts w:ascii="Century Gothic Light" w:hAnsi="Century Gothic Light" w:cs="Century Gothic Light"/>
                <w:color w:val="09223F"/>
                <w:sz w:val="22"/>
                <w:szCs w:val="22"/>
              </w:rPr>
              <w:t xml:space="preserve"> and subcontractors in contract and lien dispute cases.</w:t>
            </w:r>
          </w:p>
          <w:p w:rsidRPr="00733A23" w:rsidR="00733A23" w:rsidP="00733A23" w:rsidRDefault="00733A23" w14:paraId="2FF5509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Representing homebuilders, architects, engineers and owners in construction and design defect cases.</w:t>
            </w:r>
          </w:p>
          <w:p w:rsidRPr="00733A23" w:rsidR="00733A23" w:rsidP="00733A23" w:rsidRDefault="00733A23" w14:paraId="712217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Representing contractors before the Arizona Registrar of Contractors.</w:t>
            </w:r>
          </w:p>
          <w:p w:rsidRPr="00295769" w:rsidR="00295769" w:rsidP="00733A23" w:rsidRDefault="00733A23" w14:paraId="017CB6EC" w14:textId="43EBCD5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Negotiation and drafting contracts on behalf of owners, contractors, subcontractors and design professionals.</w:t>
            </w:r>
          </w:p>
        </w:tc>
      </w:tr>
      <w:tr w:rsidR="00295769" w:rsidTr="427EC8D1" w14:paraId="0A00674B" w14:textId="77777777">
        <w:trPr>
          <w:trHeight w:val="288"/>
        </w:trPr>
        <w:tc>
          <w:tcPr>
            <w:tcW w:w="10299" w:type="dxa"/>
            <w:tcMar/>
          </w:tcPr>
          <w:p w:rsidRPr="008F5DD7" w:rsidR="00295769" w:rsidP="00996259" w:rsidRDefault="00295769" w14:paraId="6A52EAA3" w14:textId="77777777">
            <w:pPr>
              <w:pStyle w:val="BasicParagraph"/>
              <w:rPr>
                <w:rFonts w:ascii="Century Gothic Light" w:hAnsi="Century Gothic Light" w:cs="Century Gothic Light"/>
                <w:caps/>
                <w:color w:val="F5821F"/>
                <w:szCs w:val="28"/>
              </w:rPr>
            </w:pPr>
          </w:p>
        </w:tc>
      </w:tr>
      <w:tr w:rsidR="009366B8" w:rsidTr="427EC8D1" w14:paraId="05F07DC8" w14:textId="77777777">
        <w:trPr>
          <w:trHeight w:val="288"/>
        </w:trPr>
        <w:tc>
          <w:tcPr>
            <w:tcW w:w="10299" w:type="dxa"/>
            <w:tcMar/>
          </w:tcPr>
          <w:p w:rsidRPr="00996259" w:rsidR="009366B8" w:rsidP="009366B8" w:rsidRDefault="009366B8" w14:paraId="07C3D0C5" w14:textId="472236E6">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733A23" w:rsidR="00733A23" w:rsidP="00733A23" w:rsidRDefault="00733A23" w14:paraId="68B1D00B" w14:textId="076EA07F">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733A23">
              <w:rPr>
                <w:rFonts w:ascii="Century Gothic Light" w:hAnsi="Century Gothic Light" w:cs="Century Gothic Light"/>
                <w:i/>
                <w:iCs/>
                <w:color w:val="09223F"/>
                <w:sz w:val="22"/>
                <w:szCs w:val="22"/>
              </w:rPr>
              <w:t>Best Lawyers in America</w:t>
            </w:r>
            <w:r w:rsidRPr="00DD3DB3">
              <w:rPr>
                <w:rFonts w:ascii="Century Gothic Light" w:hAnsi="Century Gothic Light" w:cs="Century Gothic Light"/>
                <w:color w:val="09223F"/>
                <w:sz w:val="22"/>
                <w:szCs w:val="22"/>
                <w:vertAlign w:val="superscript"/>
              </w:rPr>
              <w:t>®</w:t>
            </w:r>
            <w:r w:rsidRPr="00733A23">
              <w:rPr>
                <w:rFonts w:ascii="Century Gothic Light" w:hAnsi="Century Gothic Light" w:cs="Century Gothic Light"/>
                <w:i/>
                <w:iCs/>
                <w:color w:val="09223F"/>
                <w:sz w:val="22"/>
                <w:szCs w:val="22"/>
              </w:rPr>
              <w:t xml:space="preserve">, </w:t>
            </w:r>
            <w:r w:rsidRPr="00733A23">
              <w:rPr>
                <w:rFonts w:ascii="Century Gothic Light" w:hAnsi="Century Gothic Light" w:cs="Century Gothic Light"/>
                <w:color w:val="09223F"/>
                <w:sz w:val="22"/>
                <w:szCs w:val="22"/>
              </w:rPr>
              <w:t xml:space="preserve">Commercial Litigation, </w:t>
            </w:r>
            <w:r w:rsidRPr="00E95C08" w:rsidR="009E2561">
              <w:rPr>
                <w:rFonts w:ascii="Century Gothic Light" w:hAnsi="Century Gothic Light" w:cs="Century Gothic Light"/>
                <w:color w:val="09223F"/>
                <w:sz w:val="22"/>
                <w:szCs w:val="22"/>
              </w:rPr>
              <w:t>Litigation - Construction, 2013-202</w:t>
            </w:r>
            <w:r w:rsidR="009E2561">
              <w:rPr>
                <w:rFonts w:ascii="Century Gothic Light" w:hAnsi="Century Gothic Light" w:cs="Century Gothic Light"/>
                <w:color w:val="09223F"/>
                <w:sz w:val="22"/>
                <w:szCs w:val="22"/>
              </w:rPr>
              <w:t>1</w:t>
            </w:r>
          </w:p>
          <w:p w:rsidRPr="00E95C08" w:rsidR="00733A23" w:rsidP="00CE7EB2" w:rsidRDefault="00733A23" w14:paraId="4514C143" w14:textId="3474DCF0">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E95C08">
              <w:rPr>
                <w:rFonts w:ascii="Century Gothic Light" w:hAnsi="Century Gothic Light" w:cs="Century Gothic Light"/>
                <w:i/>
                <w:iCs/>
                <w:color w:val="09223F"/>
                <w:sz w:val="22"/>
                <w:szCs w:val="22"/>
              </w:rPr>
              <w:t>Southwest Super Lawyers</w:t>
            </w:r>
            <w:r w:rsidRPr="00E95C08">
              <w:rPr>
                <w:rFonts w:ascii="Century Gothic Light" w:hAnsi="Century Gothic Light" w:cs="Century Gothic Light"/>
                <w:color w:val="09223F"/>
                <w:sz w:val="22"/>
                <w:szCs w:val="22"/>
                <w:vertAlign w:val="superscript"/>
              </w:rPr>
              <w:t>®</w:t>
            </w:r>
            <w:r w:rsidRPr="00E95C08">
              <w:rPr>
                <w:rFonts w:ascii="Century Gothic Light" w:hAnsi="Century Gothic Light" w:cs="Century Gothic Light"/>
                <w:i/>
                <w:iCs/>
                <w:color w:val="09223F"/>
                <w:sz w:val="22"/>
                <w:szCs w:val="22"/>
              </w:rPr>
              <w:t xml:space="preserve">, </w:t>
            </w:r>
            <w:r w:rsidRPr="00E95C08">
              <w:rPr>
                <w:rFonts w:ascii="Century Gothic Light" w:hAnsi="Century Gothic Light" w:cs="Century Gothic Light"/>
                <w:color w:val="09223F"/>
                <w:sz w:val="22"/>
                <w:szCs w:val="22"/>
              </w:rPr>
              <w:t>Construction Litigation, 2012-202</w:t>
            </w:r>
            <w:r w:rsidR="00580B7A">
              <w:rPr>
                <w:rFonts w:ascii="Century Gothic Light" w:hAnsi="Century Gothic Light" w:cs="Century Gothic Light"/>
                <w:color w:val="09223F"/>
                <w:sz w:val="22"/>
                <w:szCs w:val="22"/>
              </w:rPr>
              <w:t>1</w:t>
            </w:r>
          </w:p>
          <w:p w:rsidRPr="00733A23" w:rsidR="00733A23" w:rsidP="00733A23" w:rsidRDefault="00733A23" w14:paraId="4846FAF6" w14:textId="77777777">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733A23">
              <w:rPr>
                <w:rFonts w:ascii="Century Gothic Light" w:hAnsi="Century Gothic Light" w:cs="Century Gothic Light"/>
                <w:i/>
                <w:iCs/>
                <w:color w:val="09223F"/>
                <w:sz w:val="22"/>
                <w:szCs w:val="22"/>
              </w:rPr>
              <w:t xml:space="preserve">Ranking Arizona, </w:t>
            </w:r>
            <w:r w:rsidRPr="00733A23">
              <w:rPr>
                <w:rFonts w:ascii="Century Gothic Light" w:hAnsi="Century Gothic Light" w:cs="Century Gothic Light"/>
                <w:color w:val="09223F"/>
                <w:sz w:val="22"/>
                <w:szCs w:val="22"/>
              </w:rPr>
              <w:t>Best Lawyers – Construction Litigation, 2012</w:t>
            </w:r>
          </w:p>
          <w:p w:rsidRPr="00DD3DB3" w:rsidR="009366B8" w:rsidP="00733A23" w:rsidRDefault="00733A23" w14:paraId="41877DC3" w14:textId="66167E1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i/>
                <w:iCs/>
                <w:color w:val="09223F"/>
                <w:sz w:val="22"/>
                <w:szCs w:val="22"/>
              </w:rPr>
              <w:t xml:space="preserve"> </w:t>
            </w:r>
            <w:r w:rsidRPr="00DD3DB3" w:rsidR="00DD3DB3">
              <w:rPr>
                <w:rFonts w:ascii="Century Gothic Light" w:hAnsi="Century Gothic Light" w:cs="Century Gothic Light"/>
                <w:color w:val="09223F"/>
                <w:sz w:val="22"/>
                <w:szCs w:val="22"/>
              </w:rPr>
              <w:t>AV</w:t>
            </w:r>
            <w:r w:rsidRPr="00DD3DB3" w:rsidR="00DD3DB3">
              <w:rPr>
                <w:rFonts w:ascii="Century Gothic Light" w:hAnsi="Century Gothic Light" w:cs="Century Gothic Light"/>
                <w:color w:val="09223F"/>
                <w:sz w:val="22"/>
                <w:szCs w:val="22"/>
                <w:vertAlign w:val="superscript"/>
              </w:rPr>
              <w:t>®</w:t>
            </w:r>
            <w:r w:rsidRPr="00DD3DB3" w:rsidR="00DD3DB3">
              <w:rPr>
                <w:rFonts w:ascii="Century Gothic Light" w:hAnsi="Century Gothic Light" w:cs="Century Gothic Light"/>
                <w:color w:val="09223F"/>
                <w:sz w:val="22"/>
                <w:szCs w:val="22"/>
              </w:rPr>
              <w:t xml:space="preserve"> Preeminent™ Peer Review Rated (the highest rating available), by Martindale-Hubbell</w:t>
            </w:r>
          </w:p>
        </w:tc>
      </w:tr>
      <w:tr w:rsidR="00DD3DB3" w:rsidTr="427EC8D1" w14:paraId="3016D275" w14:textId="77777777">
        <w:trPr>
          <w:trHeight w:val="288"/>
        </w:trPr>
        <w:tc>
          <w:tcPr>
            <w:tcW w:w="10299" w:type="dxa"/>
            <w:tcMar/>
          </w:tcPr>
          <w:p w:rsidRPr="009E2561" w:rsidR="00DD3DB3" w:rsidP="00996259" w:rsidRDefault="00DD3DB3" w14:paraId="7DA7F960" w14:textId="77777777">
            <w:pPr>
              <w:pStyle w:val="BasicParagraph"/>
              <w:rPr>
                <w:rFonts w:ascii="Century Gothic Light" w:hAnsi="Century Gothic Light" w:cs="Century Gothic Light"/>
                <w:caps/>
                <w:color w:val="F5821F"/>
                <w:szCs w:val="36"/>
              </w:rPr>
            </w:pPr>
          </w:p>
        </w:tc>
      </w:tr>
      <w:tr w:rsidR="009366B8" w:rsidTr="427EC8D1" w14:paraId="56A5FAD6" w14:textId="77777777">
        <w:trPr>
          <w:trHeight w:val="288"/>
        </w:trPr>
        <w:tc>
          <w:tcPr>
            <w:tcW w:w="10299" w:type="dxa"/>
            <w:tcMar/>
          </w:tcPr>
          <w:p w:rsidRPr="00996259" w:rsidR="009366B8" w:rsidP="009366B8" w:rsidRDefault="009366B8" w14:paraId="47AFA681" w14:textId="43AB1338">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733A23" w:rsidR="00733A23" w:rsidP="00733A23" w:rsidRDefault="00733A23" w14:paraId="6839970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State Bar of Arizona, Construction Section</w:t>
            </w:r>
          </w:p>
          <w:p w:rsidRPr="00733A23" w:rsidR="00733A23" w:rsidP="00733A23" w:rsidRDefault="00733A23" w14:paraId="046487A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State Bar of Michigan</w:t>
            </w:r>
          </w:p>
          <w:p w:rsidRPr="00733A23" w:rsidR="00733A23" w:rsidP="00733A23" w:rsidRDefault="00733A23" w14:paraId="1FB4881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American Bar Association, Construction Law Forum</w:t>
            </w:r>
          </w:p>
          <w:p w:rsidRPr="00733A23" w:rsidR="00733A23" w:rsidP="00733A23" w:rsidRDefault="00733A23" w14:paraId="6BD5378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Federal Bar Association, Phoenix Chapter Past President and Board Member</w:t>
            </w:r>
          </w:p>
          <w:p w:rsidRPr="00733A23" w:rsidR="00733A23" w:rsidP="00733A23" w:rsidRDefault="00733A23" w14:paraId="6DBF8B0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Miracle League of Arizona, Board Member</w:t>
            </w:r>
          </w:p>
          <w:p w:rsidRPr="00733A23" w:rsidR="00733A23" w:rsidP="00733A23" w:rsidRDefault="00733A23" w14:paraId="6845A83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Raising Special Kids, Advisory Council; Past President and Board Member</w:t>
            </w:r>
          </w:p>
          <w:p w:rsidRPr="009366B8" w:rsidR="009366B8" w:rsidP="00733A23" w:rsidRDefault="00733A23" w14:paraId="25CD78F4" w14:textId="53533EF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33A23">
              <w:rPr>
                <w:rFonts w:ascii="Century Gothic Light" w:hAnsi="Century Gothic Light" w:cs="Century Gothic Light"/>
                <w:color w:val="09223F"/>
                <w:sz w:val="22"/>
                <w:szCs w:val="22"/>
              </w:rPr>
              <w:t>Ninth Circuit Lawyer Representative (2005-2008); Chair (2006-2007)</w:t>
            </w:r>
          </w:p>
        </w:tc>
      </w:tr>
      <w:tr w:rsidR="009366B8" w:rsidTr="427EC8D1" w14:paraId="38546B52" w14:textId="77777777">
        <w:trPr>
          <w:trHeight w:val="288"/>
        </w:trPr>
        <w:tc>
          <w:tcPr>
            <w:tcW w:w="10299" w:type="dxa"/>
            <w:tcMar/>
          </w:tcPr>
          <w:p w:rsidRPr="009E2561" w:rsidR="009366B8" w:rsidP="00996259" w:rsidRDefault="009366B8" w14:paraId="3EB81D9A" w14:textId="77777777">
            <w:pPr>
              <w:pStyle w:val="BasicParagraph"/>
              <w:rPr>
                <w:rFonts w:ascii="Century Gothic Light" w:hAnsi="Century Gothic Light" w:cs="Century Gothic Light"/>
                <w:caps/>
                <w:color w:val="F5821F"/>
                <w:szCs w:val="36"/>
              </w:rPr>
            </w:pPr>
          </w:p>
        </w:tc>
      </w:tr>
      <w:tr w:rsidR="00996259" w:rsidTr="427EC8D1"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00333AD5" w:rsidP="00295769" w:rsidRDefault="00333AD5" w14:paraId="143C58FC" w14:textId="3BA4572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33AD5">
              <w:rPr>
                <w:rFonts w:ascii="Century Gothic Light" w:hAnsi="Century Gothic Light" w:cs="Century Gothic Light"/>
                <w:color w:val="09223F"/>
                <w:sz w:val="22"/>
                <w:szCs w:val="22"/>
              </w:rPr>
              <w:t>Arizona</w:t>
            </w:r>
          </w:p>
          <w:p w:rsidRPr="00295769" w:rsidR="00733A23" w:rsidP="00295769" w:rsidRDefault="00733A23" w14:paraId="2AB0A546" w14:textId="3451FF43">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Michigan</w:t>
            </w:r>
          </w:p>
          <w:p w:rsidRPr="00D3611B" w:rsidR="005501CE" w:rsidP="00A52F24" w:rsidRDefault="005501CE" w14:paraId="044073AE" w14:textId="56A36C15">
            <w:pPr>
              <w:pStyle w:val="BasicParagraph"/>
              <w:suppressAutoHyphens/>
              <w:spacing w:line="240" w:lineRule="auto"/>
              <w:ind w:left="720"/>
              <w:rPr>
                <w:rFonts w:ascii="Century Gothic Light" w:hAnsi="Century Gothic Light" w:cs="Century Gothic Light"/>
                <w:color w:val="09223F"/>
                <w:sz w:val="22"/>
                <w:szCs w:val="22"/>
              </w:rPr>
            </w:pPr>
          </w:p>
        </w:tc>
      </w:tr>
    </w:tbl>
    <w:p w:rsidR="008700A0" w:rsidP="008700A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B1F2F" w:rsidP="008700A0" w:rsidRDefault="00FB1F2F" w14:paraId="4336CB43" w14:textId="77777777">
      <w:pPr>
        <w:spacing w:after="0" w:line="240" w:lineRule="auto"/>
      </w:pPr>
      <w:r>
        <w:separator/>
      </w:r>
    </w:p>
  </w:endnote>
  <w:endnote w:type="continuationSeparator" w:id="0">
    <w:p w:rsidR="00FB1F2F" w:rsidP="008700A0" w:rsidRDefault="00FB1F2F" w14:paraId="04552D9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B1F2F" w:rsidP="008700A0" w:rsidRDefault="00FB1F2F" w14:paraId="0D9DC19C" w14:textId="77777777">
      <w:pPr>
        <w:spacing w:after="0" w:line="240" w:lineRule="auto"/>
      </w:pPr>
      <w:r>
        <w:separator/>
      </w:r>
    </w:p>
  </w:footnote>
  <w:footnote w:type="continuationSeparator" w:id="0">
    <w:p w:rsidR="00FB1F2F" w:rsidP="008700A0" w:rsidRDefault="00FB1F2F" w14:paraId="7848DE7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0A95AA99">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16F6A86E">
          <wp:simplePos x="0" y="0"/>
          <wp:positionH relativeFrom="margin">
            <wp:posOffset>-457200</wp:posOffset>
          </wp:positionH>
          <wp:positionV relativeFrom="margin">
            <wp:posOffset>-467360</wp:posOffset>
          </wp:positionV>
          <wp:extent cx="7772359" cy="10058347"/>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2"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6EAE4FFE"/>
    <w:multiLevelType w:val="hybridMultilevel"/>
    <w:tmpl w:val="73D8B7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5"/>
  </w:num>
  <w:num w:numId="2">
    <w:abstractNumId w:val="4"/>
  </w:num>
  <w:num w:numId="3">
    <w:abstractNumId w:val="11"/>
  </w:num>
  <w:num w:numId="4">
    <w:abstractNumId w:val="2"/>
  </w:num>
  <w:num w:numId="5">
    <w:abstractNumId w:val="3"/>
  </w:num>
  <w:num w:numId="6">
    <w:abstractNumId w:val="13"/>
  </w:num>
  <w:num w:numId="7">
    <w:abstractNumId w:val="12"/>
  </w:num>
  <w:num w:numId="8">
    <w:abstractNumId w:val="10"/>
  </w:num>
  <w:num w:numId="9">
    <w:abstractNumId w:val="5"/>
  </w:num>
  <w:num w:numId="10">
    <w:abstractNumId w:val="7"/>
  </w:num>
  <w:num w:numId="11">
    <w:abstractNumId w:val="14"/>
  </w:num>
  <w:num w:numId="12">
    <w:abstractNumId w:val="6"/>
  </w:num>
  <w:num w:numId="13">
    <w:abstractNumId w:val="1"/>
  </w:num>
  <w:num w:numId="14">
    <w:abstractNumId w:val="16"/>
  </w:num>
  <w:num w:numId="15">
    <w:abstractNumId w:val="17"/>
  </w:num>
  <w:num w:numId="16">
    <w:abstractNumId w:val="8"/>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42960"/>
    <w:rsid w:val="000B29E6"/>
    <w:rsid w:val="000D2207"/>
    <w:rsid w:val="000E585B"/>
    <w:rsid w:val="001138EA"/>
    <w:rsid w:val="00217188"/>
    <w:rsid w:val="0022028A"/>
    <w:rsid w:val="002548B5"/>
    <w:rsid w:val="00266E0F"/>
    <w:rsid w:val="00295769"/>
    <w:rsid w:val="00312CFC"/>
    <w:rsid w:val="00325FC1"/>
    <w:rsid w:val="00333AD5"/>
    <w:rsid w:val="004B0FA7"/>
    <w:rsid w:val="00515DE9"/>
    <w:rsid w:val="005501CE"/>
    <w:rsid w:val="00580B7A"/>
    <w:rsid w:val="00587218"/>
    <w:rsid w:val="00590A25"/>
    <w:rsid w:val="005F080B"/>
    <w:rsid w:val="00617B93"/>
    <w:rsid w:val="00655093"/>
    <w:rsid w:val="00686316"/>
    <w:rsid w:val="00733A23"/>
    <w:rsid w:val="007F5739"/>
    <w:rsid w:val="00841578"/>
    <w:rsid w:val="008700A0"/>
    <w:rsid w:val="008D168A"/>
    <w:rsid w:val="008F5DD7"/>
    <w:rsid w:val="009067C3"/>
    <w:rsid w:val="009366B8"/>
    <w:rsid w:val="00937844"/>
    <w:rsid w:val="00996259"/>
    <w:rsid w:val="009E2561"/>
    <w:rsid w:val="00A44AD9"/>
    <w:rsid w:val="00A51833"/>
    <w:rsid w:val="00A52F24"/>
    <w:rsid w:val="00A87D32"/>
    <w:rsid w:val="00AB20C4"/>
    <w:rsid w:val="00AE1C23"/>
    <w:rsid w:val="00B41DEB"/>
    <w:rsid w:val="00B779C2"/>
    <w:rsid w:val="00BA5277"/>
    <w:rsid w:val="00BF4B02"/>
    <w:rsid w:val="00C61054"/>
    <w:rsid w:val="00D07860"/>
    <w:rsid w:val="00D3611B"/>
    <w:rsid w:val="00DA2CC2"/>
    <w:rsid w:val="00DD3DB3"/>
    <w:rsid w:val="00DE4410"/>
    <w:rsid w:val="00DF43D3"/>
    <w:rsid w:val="00E10978"/>
    <w:rsid w:val="00E4405C"/>
    <w:rsid w:val="00E51AB5"/>
    <w:rsid w:val="00E77FF2"/>
    <w:rsid w:val="00E95C08"/>
    <w:rsid w:val="00ED2D47"/>
    <w:rsid w:val="00EE7F20"/>
    <w:rsid w:val="00F23DC3"/>
    <w:rsid w:val="00F87B62"/>
    <w:rsid w:val="00FB06C0"/>
    <w:rsid w:val="00FB1F2F"/>
    <w:rsid w:val="427EC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10</revision>
  <lastPrinted>2020-08-11T19:35:00.0000000Z</lastPrinted>
  <dcterms:created xsi:type="dcterms:W3CDTF">2020-08-11T19:38:00.0000000Z</dcterms:created>
  <dcterms:modified xsi:type="dcterms:W3CDTF">2022-05-19T16:50:52.0113687Z</dcterms:modified>
</coreProperties>
</file>