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7DA16369" w14:paraId="3E2643B7" w14:textId="77777777">
        <w:trPr>
          <w:trHeight w:val="579"/>
        </w:trPr>
        <w:tc>
          <w:tcPr>
            <w:tcW w:w="10299" w:type="dxa"/>
            <w:tcMar/>
          </w:tcPr>
          <w:p w:rsidRPr="00950ADB" w:rsidR="00950ADB" w:rsidP="00950ADB" w:rsidRDefault="00950ADB" w14:paraId="530413A6" w14:textId="77777777">
            <w:pPr>
              <w:rPr>
                <w:rFonts w:cs="Century Gothic Light"/>
                <w:color w:val="09223F"/>
              </w:rPr>
            </w:pPr>
            <w:r w:rsidRPr="00950ADB">
              <w:rPr>
                <w:rFonts w:cs="Century Gothic Light"/>
                <w:color w:val="09223F"/>
              </w:rPr>
              <w:t>Brett Gilmore provides high‑powered representation in the firm’s business litigation practice group. His practice covers many areas of civil litigation, including business disputes, restrictive covenants, legal malpractice, employment matters, intellectual property, construction defects, and appeals. Brett’s practice is marked by success, which he attributes to his passion for law, rugged work ethic, and unyielding commitment to excellence.</w:t>
            </w:r>
          </w:p>
          <w:p w:rsidRPr="00950ADB" w:rsidR="00950ADB" w:rsidP="00950ADB" w:rsidRDefault="00950ADB" w14:paraId="5E729F7E" w14:textId="77777777">
            <w:pPr>
              <w:rPr>
                <w:rFonts w:cs="Century Gothic Light"/>
                <w:color w:val="09223F"/>
              </w:rPr>
            </w:pPr>
          </w:p>
          <w:p w:rsidRPr="00950ADB" w:rsidR="00950ADB" w:rsidP="00950ADB" w:rsidRDefault="00950ADB" w14:paraId="6E5D9CF5" w14:textId="77777777">
            <w:pPr>
              <w:rPr>
                <w:rFonts w:cs="Century Gothic Light"/>
                <w:color w:val="09223F"/>
              </w:rPr>
            </w:pPr>
            <w:r w:rsidRPr="00950ADB">
              <w:rPr>
                <w:rFonts w:cs="Century Gothic Light"/>
                <w:color w:val="09223F"/>
              </w:rPr>
              <w:t>Brett understands that his first priority as a business litigation lawyer is to learn his clients’ businesses from the inside out. Before his career as a business litigation attorney, Brett spent over a decade gaining valuable experience in the health care, commercial aviation and outdoor industries. His diverse and well‑rounded background, paired with his keen legal mind and broad array of talents, makes him uniquely qualified to provide strategic and highly effective representation across all sectors of the business community.</w:t>
            </w:r>
          </w:p>
          <w:p w:rsidRPr="00950ADB" w:rsidR="00950ADB" w:rsidP="00950ADB" w:rsidRDefault="00950ADB" w14:paraId="185B4A55" w14:textId="77777777">
            <w:pPr>
              <w:rPr>
                <w:rFonts w:cs="Century Gothic Light"/>
                <w:color w:val="09223F"/>
              </w:rPr>
            </w:pPr>
          </w:p>
          <w:p w:rsidR="008700A0" w:rsidP="00950ADB" w:rsidRDefault="00950ADB" w14:paraId="39C10D41" w14:textId="013F64F1">
            <w:r w:rsidRPr="00950ADB">
              <w:rPr>
                <w:rFonts w:cs="Century Gothic Light"/>
                <w:color w:val="09223F"/>
              </w:rPr>
              <w:t xml:space="preserve">For law school, Brett attended the University of Arizona James E. Rogers College of Law, where he graduated second in class, received awards for excellence in legal writing and oral advocacy, and served as senior managing editor of </w:t>
            </w:r>
            <w:r w:rsidRPr="00B6081F">
              <w:rPr>
                <w:rFonts w:cs="Century Gothic Light"/>
                <w:i/>
                <w:iCs/>
                <w:color w:val="09223F"/>
              </w:rPr>
              <w:t>Arizona Law Review</w:t>
            </w:r>
            <w:r w:rsidRPr="00950ADB">
              <w:rPr>
                <w:rFonts w:cs="Century Gothic Light"/>
                <w:color w:val="09223F"/>
              </w:rPr>
              <w:t>. In recognition of his outstanding academic achievements, Brett was named a distinguished scholar — the James E. Rogers College of Law’s highest honor. After graduating, Brett served a one‑year clerkship with Vice Chief Justice John Pelander of the Arizona Supreme Court.</w:t>
            </w:r>
          </w:p>
        </w:tc>
      </w:tr>
      <w:tr w:rsidR="008700A0" w:rsidTr="7DA16369"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7DA16369"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950ADB" w:rsidR="00950ADB" w:rsidP="00950ADB" w:rsidRDefault="00950ADB" w14:paraId="669F1EA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50ADB">
              <w:rPr>
                <w:rFonts w:ascii="Century Gothic Light" w:hAnsi="Century Gothic Light" w:cs="Century Gothic Light"/>
                <w:color w:val="09223F"/>
                <w:sz w:val="22"/>
                <w:szCs w:val="22"/>
              </w:rPr>
              <w:t xml:space="preserve">J.D., </w:t>
            </w:r>
            <w:r w:rsidRPr="00950ADB">
              <w:rPr>
                <w:rFonts w:ascii="Century Gothic Light" w:hAnsi="Century Gothic Light" w:cs="Century Gothic Light"/>
                <w:i/>
                <w:iCs/>
                <w:color w:val="09223F"/>
                <w:sz w:val="22"/>
                <w:szCs w:val="22"/>
              </w:rPr>
              <w:t>summa cum laude</w:t>
            </w:r>
            <w:r w:rsidRPr="00950ADB">
              <w:rPr>
                <w:rFonts w:ascii="Century Gothic Light" w:hAnsi="Century Gothic Light" w:cs="Century Gothic Light"/>
                <w:color w:val="09223F"/>
                <w:sz w:val="22"/>
                <w:szCs w:val="22"/>
              </w:rPr>
              <w:t>, University of Arizona, James E. Rogers College of Law</w:t>
            </w:r>
          </w:p>
          <w:p w:rsidRPr="00950ADB" w:rsidR="00950ADB" w:rsidP="00950ADB" w:rsidRDefault="00950ADB" w14:paraId="01689CC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50ADB">
              <w:rPr>
                <w:rFonts w:ascii="Century Gothic Light" w:hAnsi="Century Gothic Light" w:cs="Century Gothic Light"/>
                <w:color w:val="09223F"/>
                <w:sz w:val="22"/>
                <w:szCs w:val="22"/>
              </w:rPr>
              <w:t>B.S., University of Utah</w:t>
            </w:r>
          </w:p>
          <w:p w:rsidRPr="00950ADB" w:rsidR="00950ADB" w:rsidP="00950ADB" w:rsidRDefault="00950ADB" w14:paraId="2554490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50ADB">
              <w:rPr>
                <w:rFonts w:ascii="Century Gothic Light" w:hAnsi="Century Gothic Light" w:cs="Century Gothic Light"/>
                <w:color w:val="09223F"/>
                <w:sz w:val="22"/>
                <w:szCs w:val="22"/>
              </w:rPr>
              <w:t>Order of the Coif</w:t>
            </w:r>
          </w:p>
          <w:p w:rsidRPr="00950ADB" w:rsidR="00950ADB" w:rsidP="00950ADB" w:rsidRDefault="00950ADB" w14:paraId="2D82623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50ADB">
              <w:rPr>
                <w:rFonts w:ascii="Century Gothic Light" w:hAnsi="Century Gothic Light" w:cs="Century Gothic Light"/>
                <w:color w:val="09223F"/>
                <w:sz w:val="22"/>
                <w:szCs w:val="22"/>
              </w:rPr>
              <w:t>Distinguished Scholar</w:t>
            </w:r>
          </w:p>
          <w:p w:rsidRPr="00950ADB" w:rsidR="00950ADB" w:rsidP="00950ADB" w:rsidRDefault="00950ADB" w14:paraId="7DFFBB8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50ADB">
              <w:rPr>
                <w:rFonts w:ascii="Century Gothic Light" w:hAnsi="Century Gothic Light" w:cs="Century Gothic Light"/>
                <w:color w:val="09223F"/>
                <w:sz w:val="22"/>
                <w:szCs w:val="22"/>
              </w:rPr>
              <w:t>Dean's List</w:t>
            </w:r>
          </w:p>
          <w:p w:rsidRPr="00CF5C24" w:rsidR="00AB20C4" w:rsidP="00950ADB" w:rsidRDefault="00950ADB" w14:paraId="3BF85D19" w14:textId="56CAFC4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50ADB">
              <w:rPr>
                <w:rFonts w:ascii="Century Gothic Light" w:hAnsi="Century Gothic Light" w:cs="Century Gothic Light"/>
                <w:color w:val="09223F"/>
                <w:sz w:val="22"/>
                <w:szCs w:val="22"/>
              </w:rPr>
              <w:t xml:space="preserve">Senior Managing Editor, </w:t>
            </w:r>
            <w:r w:rsidRPr="00950ADB">
              <w:rPr>
                <w:rFonts w:ascii="Century Gothic Light" w:hAnsi="Century Gothic Light" w:cs="Century Gothic Light"/>
                <w:i/>
                <w:iCs/>
                <w:color w:val="09223F"/>
                <w:sz w:val="22"/>
                <w:szCs w:val="22"/>
              </w:rPr>
              <w:t>Arizona Law Review</w:t>
            </w:r>
          </w:p>
        </w:tc>
      </w:tr>
      <w:tr w:rsidR="00DE4410" w:rsidTr="7DA16369"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7DA16369"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7DA16369" w14:paraId="2FD63DE2" w14:textId="77777777">
              <w:trPr>
                <w:trHeight w:val="195"/>
              </w:trPr>
              <w:tc>
                <w:tcPr>
                  <w:tcW w:w="5036" w:type="dxa"/>
                  <w:tcMar/>
                </w:tcPr>
                <w:p w:rsidR="0099759E" w:rsidP="007925FA" w:rsidRDefault="00950ADB" w14:paraId="5613D8E9"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Appeals</w:t>
                  </w:r>
                </w:p>
                <w:p w:rsidR="00950ADB" w:rsidP="007925FA" w:rsidRDefault="00950ADB" w14:paraId="72451140" w14:textId="30FD4DE4">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Business Litigation</w:t>
                  </w:r>
                </w:p>
                <w:p w:rsidRPr="00950ADB" w:rsidR="00950ADB" w:rsidP="007925FA" w:rsidRDefault="00950ADB" w14:paraId="050B8C3F" w14:textId="4DECD996">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sidRPr="7DA16369" w:rsidR="7DA16369">
                    <w:rPr>
                      <w:rFonts w:ascii="Century Gothic Light" w:hAnsi="Century Gothic Light" w:cs="Century Gothic Light"/>
                      <w:color w:val="09223F"/>
                      <w:sz w:val="22"/>
                      <w:szCs w:val="22"/>
                    </w:rPr>
                    <w:t>Litigation</w:t>
                  </w:r>
                </w:p>
                <w:tbl>
                  <w:tblPr>
                    <w:tblStyle w:val="TableGrid"/>
                    <w:tblW w:w="0" w:type="auto"/>
                    <w:tblBorders>
                      <w:top w:val="none" w:color="auto" w:sz="0"/>
                      <w:left w:val="none" w:color="auto" w:sz="0"/>
                      <w:bottom w:val="none" w:color="auto" w:sz="0"/>
                      <w:right w:val="none" w:color="auto" w:sz="0"/>
                      <w:insideH w:val="none" w:color="auto" w:sz="0"/>
                      <w:insideV w:val="none" w:color="auto" w:sz="0"/>
                    </w:tblBorders>
                    <w:tblLook w:val="04A0" w:firstRow="1" w:lastRow="0" w:firstColumn="1" w:lastColumn="0" w:noHBand="0" w:noVBand="1"/>
                  </w:tblPr>
                  <w:tblGrid>
                    <w:gridCol w:w="5036"/>
                    <w:gridCol w:w="5037"/>
                  </w:tblGrid>
                  <w:tr w:rsidR="7DA16369" w:rsidTr="7DA16369" w14:paraId="2AB7A8AB">
                    <w:trPr>
                      <w:trHeight w:val="195"/>
                    </w:trPr>
                    <w:tc>
                      <w:tcPr>
                        <w:tcW w:w="5036" w:type="dxa"/>
                        <w:tcMar/>
                      </w:tcPr>
                      <w:p w:rsidR="7DA16369" w:rsidP="7DA16369" w:rsidRDefault="7DA16369" w14:paraId="50200736" w14:textId="7A7AFC58">
                        <w:pPr>
                          <w:pStyle w:val="BasicParagraph"/>
                          <w:spacing w:line="240" w:lineRule="auto"/>
                          <w:ind w:left="0"/>
                          <w:rPr>
                            <w:rFonts w:ascii="MinionPro-Regular" w:hAnsi="MinionPro-Regular" w:eastAsia="Calibri" w:cs="MinionPro-Regular"/>
                            <w:color w:val="000000"/>
                            <w:sz w:val="24"/>
                            <w:szCs w:val="24"/>
                          </w:rPr>
                        </w:pPr>
                      </w:p>
                    </w:tc>
                    <w:tc>
                      <w:tcPr>
                        <w:tcW w:w="5037" w:type="dxa"/>
                        <w:tcMar/>
                      </w:tcPr>
                      <w:p w:rsidR="7DA16369" w:rsidP="7DA16369" w:rsidRDefault="7DA16369" w14:paraId="5351EB2D" w14:textId="4B651830">
                        <w:pPr>
                          <w:pStyle w:val="BasicParagraph"/>
                          <w:spacing w:line="240" w:lineRule="auto"/>
                          <w:ind w:left="615"/>
                          <w:rPr>
                            <w:rFonts w:ascii="Century Gothic Light" w:hAnsi="Century Gothic Light" w:cs="Century Gothic Light"/>
                            <w:color w:val="09223F"/>
                            <w:sz w:val="22"/>
                            <w:szCs w:val="22"/>
                          </w:rPr>
                        </w:pPr>
                      </w:p>
                    </w:tc>
                  </w:tr>
                </w:tbl>
                <w:p w:rsidRPr="00950ADB" w:rsidR="00950ADB" w:rsidP="7DA16369" w:rsidRDefault="00950ADB" w14:paraId="53698C71" w14:textId="6BEC07FE">
                  <w:pPr>
                    <w:pStyle w:val="BasicParagraph"/>
                    <w:framePr w:hSpace="180" w:wrap="around" w:hAnchor="margin" w:vAnchor="text" w:xAlign="right" w:y="3856"/>
                    <w:suppressAutoHyphens/>
                    <w:spacing w:line="240" w:lineRule="auto"/>
                    <w:ind/>
                    <w:rPr>
                      <w:rFonts w:ascii="MinionPro-Regular" w:hAnsi="MinionPro-Regular" w:eastAsia="Calibri" w:cs="MinionPro-Regular"/>
                      <w:color w:val="000000"/>
                      <w:sz w:val="24"/>
                      <w:szCs w:val="24"/>
                    </w:rPr>
                  </w:pPr>
                </w:p>
              </w:tc>
              <w:tc>
                <w:tcPr>
                  <w:tcW w:w="5037" w:type="dxa"/>
                  <w:tcMar/>
                </w:tcPr>
                <w:p w:rsidRPr="00950ADB" w:rsidR="0099759E" w:rsidP="007925FA" w:rsidRDefault="0099759E" w14:paraId="22A85BCB" w14:textId="4B651830">
                  <w:pPr>
                    <w:pStyle w:val="BasicParagraph"/>
                    <w:framePr w:hSpace="180" w:wrap="around" w:hAnchor="margin" w:vAnchor="text" w:xAlign="right" w:y="3856"/>
                    <w:suppressAutoHyphens/>
                    <w:spacing w:line="240" w:lineRule="auto"/>
                    <w:ind w:left="615"/>
                    <w:rPr>
                      <w:rFonts w:ascii="Century Gothic Light" w:hAnsi="Century Gothic Light" w:cs="Century Gothic Light"/>
                      <w:color w:val="09223F"/>
                      <w:sz w:val="22"/>
                      <w:szCs w:val="22"/>
                    </w:rPr>
                  </w:pPr>
                </w:p>
              </w:tc>
            </w:tr>
          </w:tbl>
          <w:p w:rsidR="00996259" w:rsidP="7DA16369" w:rsidRDefault="00996259" w14:paraId="74BE6BCF" w14:textId="58DD0254">
            <w:pPr>
              <w:pStyle w:val="BasicParagraph"/>
              <w:rPr>
                <w:rFonts w:ascii="Century Gothic Light" w:hAnsi="Century Gothic Light" w:cs="Century Gothic Light"/>
                <w:caps w:val="1"/>
                <w:color w:val="F5821F"/>
                <w:sz w:val="28"/>
                <w:szCs w:val="28"/>
              </w:rPr>
            </w:pPr>
            <w:r w:rsidRPr="7DA16369" w:rsidR="7DA16369">
              <w:rPr>
                <w:rFonts w:ascii="Century Gothic Light" w:hAnsi="Century Gothic Light" w:cs="Century Gothic Light"/>
                <w:caps w:val="1"/>
                <w:color w:val="F5821F"/>
                <w:sz w:val="28"/>
                <w:szCs w:val="28"/>
              </w:rPr>
              <w:t>ARTICLES AND PRESENTATIONS</w:t>
            </w:r>
          </w:p>
          <w:p w:rsidR="00996259" w:rsidP="7DA16369" w:rsidRDefault="00996259" w14:paraId="4910D759" w14:textId="4F593F0D">
            <w:pPr>
              <w:pStyle w:val="BasicParagraph"/>
              <w:numPr>
                <w:ilvl w:val="0"/>
                <w:numId w:val="1"/>
              </w:numPr>
              <w:spacing w:line="240" w:lineRule="auto"/>
              <w:rPr>
                <w:rFonts w:ascii="Century Gothic Light" w:hAnsi="Century Gothic Light" w:cs="Century Gothic Light"/>
                <w:color w:val="09223F"/>
                <w:sz w:val="22"/>
                <w:szCs w:val="22"/>
              </w:rPr>
            </w:pPr>
            <w:r w:rsidRPr="7DA16369" w:rsidR="7DA16369">
              <w:rPr>
                <w:rFonts w:ascii="Century Gothic Light" w:hAnsi="Century Gothic Light" w:cs="Century Gothic Light"/>
                <w:color w:val="09223F"/>
                <w:sz w:val="22"/>
                <w:szCs w:val="22"/>
              </w:rPr>
              <w:t>Interview, “Learning to Juggle Lawyering and Life is a Tremendous Challenge but it isn’t an Impossible Task,” Fennemore Blog, May 12, 2022</w:t>
            </w:r>
          </w:p>
        </w:tc>
      </w:tr>
      <w:tr w:rsidR="00C15349" w:rsidTr="7DA16369" w14:paraId="7D1F7866" w14:textId="77777777">
        <w:trPr>
          <w:trHeight w:val="288"/>
        </w:trPr>
        <w:tc>
          <w:tcPr>
            <w:tcW w:w="10299" w:type="dxa"/>
            <w:tcMar/>
          </w:tcPr>
          <w:p w:rsidRPr="00D56078" w:rsidR="00C15349" w:rsidP="00644C31" w:rsidRDefault="00C15349" w14:paraId="6918F297" w14:textId="77777777">
            <w:pPr>
              <w:pStyle w:val="BasicParagraph"/>
              <w:rPr>
                <w:rFonts w:ascii="Century Gothic Light" w:hAnsi="Century Gothic Light" w:cs="Century Gothic Light"/>
                <w:caps/>
                <w:color w:val="F5821F"/>
                <w:szCs w:val="28"/>
              </w:rPr>
            </w:pPr>
          </w:p>
        </w:tc>
      </w:tr>
      <w:tr w:rsidR="008B0E1C" w:rsidTr="7DA16369" w14:paraId="2B7B27BA" w14:textId="77777777">
        <w:trPr>
          <w:trHeight w:val="288"/>
        </w:trPr>
        <w:tc>
          <w:tcPr>
            <w:tcW w:w="10299" w:type="dxa"/>
            <w:tcMar/>
          </w:tcPr>
          <w:p w:rsidRPr="00996259" w:rsidR="008B0E1C" w:rsidP="008B0E1C" w:rsidRDefault="008B0E1C" w14:paraId="41F53AA9" w14:textId="66A9A543">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950ADB" w:rsidR="00950ADB" w:rsidP="00950ADB" w:rsidRDefault="00950ADB" w14:paraId="311D7F1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50ADB">
              <w:rPr>
                <w:rFonts w:ascii="Century Gothic Light" w:hAnsi="Century Gothic Light" w:cs="Century Gothic Light"/>
                <w:color w:val="09223F"/>
                <w:sz w:val="22"/>
                <w:szCs w:val="22"/>
              </w:rPr>
              <w:t>Volunteer Attorney, Arizona Legal Center</w:t>
            </w:r>
          </w:p>
          <w:p w:rsidRPr="008B0E1C" w:rsidR="008B0E1C" w:rsidP="00950ADB" w:rsidRDefault="00950ADB" w14:paraId="58E6DB62" w14:textId="53A17A6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50ADB">
              <w:rPr>
                <w:rFonts w:ascii="Century Gothic Light" w:hAnsi="Century Gothic Light" w:cs="Century Gothic Light"/>
                <w:color w:val="09223F"/>
                <w:sz w:val="22"/>
                <w:szCs w:val="22"/>
              </w:rPr>
              <w:t>Student Volunteer, Volunteer Lawyers Program</w:t>
            </w:r>
          </w:p>
        </w:tc>
      </w:tr>
      <w:tr w:rsidR="008B0E1C" w:rsidTr="7DA16369" w14:paraId="6C9FE72B" w14:textId="77777777">
        <w:trPr>
          <w:trHeight w:val="288"/>
        </w:trPr>
        <w:tc>
          <w:tcPr>
            <w:tcW w:w="10299" w:type="dxa"/>
            <w:tcMar/>
          </w:tcPr>
          <w:p w:rsidRPr="008F5DD7" w:rsidR="008B0E1C" w:rsidP="00996259" w:rsidRDefault="008B0E1C" w14:paraId="2BF18C4B" w14:textId="77777777">
            <w:pPr>
              <w:pStyle w:val="BasicParagraph"/>
              <w:rPr>
                <w:rFonts w:ascii="Century Gothic Light" w:hAnsi="Century Gothic Light" w:cs="Century Gothic Light"/>
                <w:caps/>
                <w:color w:val="F5821F"/>
                <w:szCs w:val="28"/>
              </w:rPr>
            </w:pPr>
          </w:p>
        </w:tc>
      </w:tr>
      <w:tr w:rsidR="00996259" w:rsidTr="7DA16369"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00CC750D" w:rsidP="00950ADB" w:rsidRDefault="00C15349" w14:paraId="1CF4971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C15349">
              <w:rPr>
                <w:rFonts w:ascii="Century Gothic Light" w:hAnsi="Century Gothic Light" w:cs="Century Gothic Light"/>
                <w:color w:val="09223F"/>
                <w:sz w:val="22"/>
                <w:szCs w:val="22"/>
              </w:rPr>
              <w:t>Arizon</w:t>
            </w:r>
            <w:r w:rsidR="00950ADB">
              <w:rPr>
                <w:rFonts w:ascii="Century Gothic Light" w:hAnsi="Century Gothic Light" w:cs="Century Gothic Light"/>
                <w:color w:val="09223F"/>
                <w:sz w:val="22"/>
                <w:szCs w:val="22"/>
              </w:rPr>
              <w:t>a</w:t>
            </w:r>
          </w:p>
          <w:p w:rsidR="00C23B07" w:rsidP="00950ADB" w:rsidRDefault="00C23B07" w14:paraId="31B2C75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Utah</w:t>
            </w:r>
          </w:p>
          <w:p w:rsidRPr="00950ADB" w:rsidR="007925FA" w:rsidP="00950ADB" w:rsidRDefault="007925FA" w14:paraId="044073AE" w14:textId="6C51967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25FA">
              <w:rPr>
                <w:rFonts w:ascii="Century Gothic Light" w:hAnsi="Century Gothic Light" w:cs="Century Gothic Light"/>
                <w:color w:val="09223F"/>
                <w:sz w:val="22"/>
                <w:szCs w:val="22"/>
              </w:rPr>
              <w:t>U.S. Court of Appeals</w:t>
            </w:r>
            <w:r>
              <w:rPr>
                <w:rFonts w:ascii="Century Gothic Light" w:hAnsi="Century Gothic Light" w:cs="Century Gothic Light"/>
                <w:color w:val="09223F"/>
                <w:sz w:val="22"/>
                <w:szCs w:val="22"/>
              </w:rPr>
              <w:t>,</w:t>
            </w:r>
            <w:r w:rsidRPr="007925FA">
              <w:rPr>
                <w:rFonts w:ascii="Century Gothic Light" w:hAnsi="Century Gothic Light" w:cs="Century Gothic Light"/>
                <w:color w:val="09223F"/>
                <w:sz w:val="22"/>
                <w:szCs w:val="22"/>
              </w:rPr>
              <w:t xml:space="preserve"> Federal Circuit</w:t>
            </w:r>
          </w:p>
        </w:tc>
      </w:tr>
    </w:tbl>
    <w:p w:rsidR="008700A0" w:rsidP="0012489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E45B0" w:rsidP="008700A0" w:rsidRDefault="006E45B0" w14:paraId="6A9C92E9" w14:textId="77777777">
      <w:pPr>
        <w:spacing w:after="0" w:line="240" w:lineRule="auto"/>
      </w:pPr>
      <w:r>
        <w:separator/>
      </w:r>
    </w:p>
  </w:endnote>
  <w:endnote w:type="continuationSeparator" w:id="0">
    <w:p w:rsidR="006E45B0" w:rsidP="008700A0" w:rsidRDefault="006E45B0" w14:paraId="4E724F6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E45B0" w:rsidP="008700A0" w:rsidRDefault="006E45B0" w14:paraId="289E0202" w14:textId="77777777">
      <w:pPr>
        <w:spacing w:after="0" w:line="240" w:lineRule="auto"/>
      </w:pPr>
      <w:r>
        <w:separator/>
      </w:r>
    </w:p>
  </w:footnote>
  <w:footnote w:type="continuationSeparator" w:id="0">
    <w:p w:rsidR="006E45B0" w:rsidP="008700A0" w:rsidRDefault="006E45B0" w14:paraId="6859B76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0DEB4485">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2BAB2139">
          <wp:simplePos x="0" y="0"/>
          <wp:positionH relativeFrom="margin">
            <wp:posOffset>-457200</wp:posOffset>
          </wp:positionH>
          <wp:positionV relativeFrom="margin">
            <wp:posOffset>-467360</wp:posOffset>
          </wp:positionV>
          <wp:extent cx="7772359" cy="10058346"/>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5"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6EAE4FFE"/>
    <w:multiLevelType w:val="hybridMultilevel"/>
    <w:tmpl w:val="3CEEE0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8">
    <w:abstractNumId w:val="27"/>
  </w:num>
  <w:num w:numId="27">
    <w:abstractNumId w:val="26"/>
  </w:num>
  <w:num w:numId="26">
    <w:abstractNumId w:val="25"/>
  </w:num>
  <w:num w:numId="1">
    <w:abstractNumId w:val="21"/>
  </w:num>
  <w:num w:numId="2">
    <w:abstractNumId w:val="4"/>
  </w:num>
  <w:num w:numId="3">
    <w:abstractNumId w:val="14"/>
  </w:num>
  <w:num w:numId="4">
    <w:abstractNumId w:val="2"/>
  </w:num>
  <w:num w:numId="5">
    <w:abstractNumId w:val="3"/>
  </w:num>
  <w:num w:numId="6">
    <w:abstractNumId w:val="18"/>
  </w:num>
  <w:num w:numId="7">
    <w:abstractNumId w:val="17"/>
  </w:num>
  <w:num w:numId="8">
    <w:abstractNumId w:val="13"/>
  </w:num>
  <w:num w:numId="9">
    <w:abstractNumId w:val="6"/>
  </w:num>
  <w:num w:numId="10">
    <w:abstractNumId w:val="10"/>
  </w:num>
  <w:num w:numId="11">
    <w:abstractNumId w:val="19"/>
  </w:num>
  <w:num w:numId="12">
    <w:abstractNumId w:val="7"/>
  </w:num>
  <w:num w:numId="13">
    <w:abstractNumId w:val="1"/>
  </w:num>
  <w:num w:numId="14">
    <w:abstractNumId w:val="22"/>
  </w:num>
  <w:num w:numId="15">
    <w:abstractNumId w:val="23"/>
  </w:num>
  <w:num w:numId="16">
    <w:abstractNumId w:val="11"/>
  </w:num>
  <w:num w:numId="17">
    <w:abstractNumId w:val="12"/>
  </w:num>
  <w:num w:numId="18">
    <w:abstractNumId w:val="0"/>
  </w:num>
  <w:num w:numId="19">
    <w:abstractNumId w:val="16"/>
  </w:num>
  <w:num w:numId="20">
    <w:abstractNumId w:val="20"/>
  </w:num>
  <w:num w:numId="21">
    <w:abstractNumId w:val="8"/>
  </w:num>
  <w:num w:numId="22">
    <w:abstractNumId w:val="24"/>
  </w:num>
  <w:num w:numId="23">
    <w:abstractNumId w:val="9"/>
  </w:num>
  <w:num w:numId="24">
    <w:abstractNumId w:val="15"/>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5599F"/>
    <w:rsid w:val="000B29E6"/>
    <w:rsid w:val="000D2207"/>
    <w:rsid w:val="001138EA"/>
    <w:rsid w:val="00124890"/>
    <w:rsid w:val="0019269A"/>
    <w:rsid w:val="00216E51"/>
    <w:rsid w:val="00217188"/>
    <w:rsid w:val="0021738A"/>
    <w:rsid w:val="002548B5"/>
    <w:rsid w:val="00266E0F"/>
    <w:rsid w:val="00290042"/>
    <w:rsid w:val="00295769"/>
    <w:rsid w:val="002A2E90"/>
    <w:rsid w:val="002D5A17"/>
    <w:rsid w:val="00312CFC"/>
    <w:rsid w:val="0032458F"/>
    <w:rsid w:val="00325FC1"/>
    <w:rsid w:val="00333AD5"/>
    <w:rsid w:val="00345563"/>
    <w:rsid w:val="00371E4C"/>
    <w:rsid w:val="0039208F"/>
    <w:rsid w:val="004B0FA7"/>
    <w:rsid w:val="00515DE9"/>
    <w:rsid w:val="005501CE"/>
    <w:rsid w:val="005657AD"/>
    <w:rsid w:val="00566492"/>
    <w:rsid w:val="00587218"/>
    <w:rsid w:val="00590A25"/>
    <w:rsid w:val="005A0F4F"/>
    <w:rsid w:val="005D3709"/>
    <w:rsid w:val="005F080B"/>
    <w:rsid w:val="00617B93"/>
    <w:rsid w:val="00644C31"/>
    <w:rsid w:val="00655093"/>
    <w:rsid w:val="006E45B0"/>
    <w:rsid w:val="00733A23"/>
    <w:rsid w:val="00772C3A"/>
    <w:rsid w:val="00787D07"/>
    <w:rsid w:val="007925FA"/>
    <w:rsid w:val="007C384C"/>
    <w:rsid w:val="007F5739"/>
    <w:rsid w:val="00841578"/>
    <w:rsid w:val="00863372"/>
    <w:rsid w:val="008700A0"/>
    <w:rsid w:val="008B0E1C"/>
    <w:rsid w:val="008D168A"/>
    <w:rsid w:val="008E43B6"/>
    <w:rsid w:val="008F5DD7"/>
    <w:rsid w:val="009067C3"/>
    <w:rsid w:val="00920E7D"/>
    <w:rsid w:val="009366B8"/>
    <w:rsid w:val="00937844"/>
    <w:rsid w:val="00950ADB"/>
    <w:rsid w:val="00996259"/>
    <w:rsid w:val="0099759E"/>
    <w:rsid w:val="009F59F7"/>
    <w:rsid w:val="00A01755"/>
    <w:rsid w:val="00A10950"/>
    <w:rsid w:val="00A44AD9"/>
    <w:rsid w:val="00A51833"/>
    <w:rsid w:val="00A52F24"/>
    <w:rsid w:val="00A87D32"/>
    <w:rsid w:val="00AB20C4"/>
    <w:rsid w:val="00AD3BB1"/>
    <w:rsid w:val="00AE1C23"/>
    <w:rsid w:val="00B6081F"/>
    <w:rsid w:val="00B664FF"/>
    <w:rsid w:val="00B779C2"/>
    <w:rsid w:val="00BA0567"/>
    <w:rsid w:val="00BA0C8B"/>
    <w:rsid w:val="00BA5277"/>
    <w:rsid w:val="00BC1370"/>
    <w:rsid w:val="00BC268B"/>
    <w:rsid w:val="00C15349"/>
    <w:rsid w:val="00C23B07"/>
    <w:rsid w:val="00C251B7"/>
    <w:rsid w:val="00C3111D"/>
    <w:rsid w:val="00C61BBC"/>
    <w:rsid w:val="00C727B6"/>
    <w:rsid w:val="00CC27D5"/>
    <w:rsid w:val="00CC750D"/>
    <w:rsid w:val="00CF5C24"/>
    <w:rsid w:val="00D23AE3"/>
    <w:rsid w:val="00D3611B"/>
    <w:rsid w:val="00D56078"/>
    <w:rsid w:val="00DC046C"/>
    <w:rsid w:val="00DD3DB3"/>
    <w:rsid w:val="00DE4410"/>
    <w:rsid w:val="00DF67D2"/>
    <w:rsid w:val="00E0643E"/>
    <w:rsid w:val="00E10978"/>
    <w:rsid w:val="00E4405C"/>
    <w:rsid w:val="00E51AB5"/>
    <w:rsid w:val="00E975D3"/>
    <w:rsid w:val="00EA2047"/>
    <w:rsid w:val="00ED2D47"/>
    <w:rsid w:val="00EE7F20"/>
    <w:rsid w:val="00F03F17"/>
    <w:rsid w:val="00F23DC3"/>
    <w:rsid w:val="00F87B62"/>
    <w:rsid w:val="00FB06C0"/>
    <w:rsid w:val="7DA16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10</revision>
  <lastPrinted>2021-10-27T16:28:00.0000000Z</lastPrinted>
  <dcterms:created xsi:type="dcterms:W3CDTF">2020-08-12T15:15:00.0000000Z</dcterms:created>
  <dcterms:modified xsi:type="dcterms:W3CDTF">2022-08-04T21:57:00.7843532Z</dcterms:modified>
</coreProperties>
</file>