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15032190" w14:paraId="3E2643B7" w14:textId="77777777">
        <w:trPr>
          <w:trHeight w:val="579"/>
        </w:trPr>
        <w:tc>
          <w:tcPr>
            <w:tcW w:w="10299" w:type="dxa"/>
            <w:tcMar/>
          </w:tcPr>
          <w:p w:rsidRPr="000F6FAD" w:rsidR="000F6FAD" w:rsidP="000F6FAD" w:rsidRDefault="000F6FAD" w14:paraId="2F87737A" w14:textId="77777777">
            <w:pPr>
              <w:rPr>
                <w:rFonts w:cs="Century Gothic Light"/>
                <w:color w:val="09223F"/>
              </w:rPr>
            </w:pPr>
            <w:bookmarkStart w:name="_GoBack" w:id="0"/>
            <w:r w:rsidRPr="000F6FAD">
              <w:rPr>
                <w:rFonts w:cs="Century Gothic Light"/>
                <w:color w:val="09223F"/>
              </w:rPr>
              <w:t>Randy practices in the areas of federal and state procurement and government contract law, as well as building and construction law. He has negotiated and litigated construction claims at the city, county, state and federal levels on behalf of general contractors and specialty subcontractors. At the federal level, Randy has litigated claims involving defective specifications, constructive changes, acceleration, excusable and compensable delays, differing site conditions, terminations for default, and structured settlements for terminations for the convenience of the government. He also has been involved with bid protests before the Comptroller General of the General Accounting Office, having represented both awardees and protestors.</w:t>
            </w:r>
          </w:p>
          <w:p w:rsidRPr="000F6FAD" w:rsidR="000F6FAD" w:rsidP="000F6FAD" w:rsidRDefault="000F6FAD" w14:paraId="7A65DAD8" w14:textId="77777777">
            <w:pPr>
              <w:rPr>
                <w:rFonts w:cs="Century Gothic Light"/>
                <w:color w:val="09223F"/>
              </w:rPr>
            </w:pPr>
          </w:p>
          <w:p w:rsidRPr="003779A7" w:rsidR="008700A0" w:rsidP="000F6FAD" w:rsidRDefault="000F6FAD" w14:paraId="39C10D41" w14:textId="30899445">
            <w:pPr>
              <w:rPr>
                <w:rFonts w:cs="Century Gothic Light"/>
                <w:color w:val="09223F"/>
              </w:rPr>
            </w:pPr>
            <w:r w:rsidRPr="000F6FAD">
              <w:rPr>
                <w:rFonts w:cs="Century Gothic Light"/>
                <w:color w:val="09223F"/>
              </w:rPr>
              <w:t>At the local level, Randy has pursued claims against city, county and state entities in Arizona, California, New Mexico, Utah and Nevada, and has been involved in a number of bid protests involving the Arizona Procurement Office. He also handles private construction litigation involving disputes between owners, general contractors and subcontractors, as well as performance and payment bond claims.</w:t>
            </w:r>
          </w:p>
        </w:tc>
      </w:tr>
      <w:bookmarkEnd w:id="0"/>
      <w:tr w:rsidR="008700A0" w:rsidTr="15032190"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15032190"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0F6FAD" w:rsidR="000F6FAD" w:rsidP="000F6FAD" w:rsidRDefault="000F6FAD" w14:paraId="2215DCB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F6FAD">
              <w:rPr>
                <w:rFonts w:ascii="Century Gothic Light" w:hAnsi="Century Gothic Light" w:cs="Century Gothic Light"/>
                <w:color w:val="09223F"/>
                <w:sz w:val="22"/>
                <w:szCs w:val="22"/>
              </w:rPr>
              <w:t>J.D., University of Utah, S.J. Quinney College of Law</w:t>
            </w:r>
          </w:p>
          <w:p w:rsidRPr="000F6FAD" w:rsidR="000F6FAD" w:rsidP="000F6FAD" w:rsidRDefault="000F6FAD" w14:paraId="3BC20DA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F6FAD">
              <w:rPr>
                <w:rFonts w:ascii="Century Gothic Light" w:hAnsi="Century Gothic Light" w:cs="Century Gothic Light"/>
                <w:color w:val="09223F"/>
                <w:sz w:val="22"/>
                <w:szCs w:val="22"/>
              </w:rPr>
              <w:t>B.A., University of Notre Dame</w:t>
            </w:r>
          </w:p>
          <w:p w:rsidRPr="00551687" w:rsidR="00AB20C4" w:rsidP="000F6FAD" w:rsidRDefault="000F6FAD" w14:paraId="3BF85D19" w14:textId="1E91EAE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F6FAD">
              <w:rPr>
                <w:rFonts w:ascii="Century Gothic Light" w:hAnsi="Century Gothic Light" w:cs="Century Gothic Light"/>
                <w:color w:val="09223F"/>
                <w:sz w:val="22"/>
                <w:szCs w:val="22"/>
              </w:rPr>
              <w:t>Order of the Coif</w:t>
            </w:r>
          </w:p>
        </w:tc>
      </w:tr>
      <w:tr w:rsidR="00DE4410" w:rsidTr="15032190"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15032190"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E6056" w:rsidTr="00197000" w14:paraId="2FD63DE2" w14:textId="77777777">
              <w:trPr>
                <w:trHeight w:val="195"/>
              </w:trPr>
              <w:tc>
                <w:tcPr>
                  <w:tcW w:w="5036" w:type="dxa"/>
                </w:tcPr>
                <w:p w:rsidR="004533D0" w:rsidP="000665C1" w:rsidRDefault="000F6FAD" w14:paraId="02B5A0C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Pr="00340AE6" w:rsidR="000F6FAD" w:rsidP="000665C1" w:rsidRDefault="000F6FAD" w14:paraId="4CFCE99A" w14:textId="1FB5C5E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Construction Law</w:t>
                  </w:r>
                </w:p>
              </w:tc>
              <w:tc>
                <w:tcPr>
                  <w:tcW w:w="5037" w:type="dxa"/>
                </w:tcPr>
                <w:p w:rsidR="004533D0" w:rsidP="000665C1" w:rsidRDefault="000F6FAD" w14:paraId="3DC3B994" w14:textId="18863B82">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Pr="00340AE6" w:rsidR="000F6FAD" w:rsidP="000665C1" w:rsidRDefault="000F6FAD" w14:paraId="22A85BCB" w14:textId="14FB6A8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A6CBE" w:rsidTr="15032190" w14:paraId="3042EC97" w14:textId="77777777">
        <w:trPr>
          <w:trHeight w:val="288"/>
        </w:trPr>
        <w:tc>
          <w:tcPr>
            <w:tcW w:w="10299" w:type="dxa"/>
            <w:tcMar/>
          </w:tcPr>
          <w:p w:rsidRPr="008F5DD7" w:rsidR="00AA6CBE" w:rsidP="00996259" w:rsidRDefault="00AA6CBE" w14:paraId="6CD486C4" w14:textId="77777777">
            <w:pPr>
              <w:pStyle w:val="BasicParagraph"/>
              <w:rPr>
                <w:rFonts w:ascii="Century Gothic Light" w:hAnsi="Century Gothic Light" w:cs="Century Gothic Light"/>
                <w:caps/>
                <w:color w:val="F5821F"/>
                <w:szCs w:val="28"/>
              </w:rPr>
            </w:pPr>
          </w:p>
        </w:tc>
      </w:tr>
      <w:tr w:rsidR="004533D0" w:rsidTr="15032190" w14:paraId="25D11692" w14:textId="77777777">
        <w:trPr>
          <w:trHeight w:val="288"/>
        </w:trPr>
        <w:tc>
          <w:tcPr>
            <w:tcW w:w="10299" w:type="dxa"/>
            <w:tcMar/>
          </w:tcPr>
          <w:p w:rsidRPr="00996259" w:rsidR="004533D0" w:rsidP="004533D0" w:rsidRDefault="004533D0" w14:paraId="785AC6B5" w14:textId="6AF904F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0F6FAD" w:rsidR="000F6FAD" w:rsidP="000F6FAD" w:rsidRDefault="000F6FAD" w14:paraId="6961EC71" w14:textId="7FB255F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0F6FAD">
              <w:rPr>
                <w:rFonts w:ascii="Century Gothic Light" w:hAnsi="Century Gothic Light" w:cs="Century Gothic Light"/>
                <w:i/>
                <w:iCs/>
                <w:color w:val="09223F"/>
                <w:sz w:val="22"/>
                <w:szCs w:val="22"/>
              </w:rPr>
              <w:t xml:space="preserve">APCO Construction v. City of Las Vegas, NAA Case No. 05-108. </w:t>
            </w:r>
            <w:r w:rsidRPr="000F6FAD">
              <w:rPr>
                <w:rFonts w:ascii="Century Gothic Light" w:hAnsi="Century Gothic Light" w:cs="Century Gothic Light"/>
                <w:iCs/>
                <w:color w:val="09223F"/>
                <w:sz w:val="22"/>
                <w:szCs w:val="22"/>
              </w:rPr>
              <w:t>Fennemore</w:t>
            </w:r>
            <w:r w:rsidR="00F86CD2">
              <w:rPr>
                <w:rFonts w:ascii="Century Gothic Light" w:hAnsi="Century Gothic Light" w:cs="Century Gothic Light"/>
                <w:iCs/>
                <w:color w:val="09223F"/>
                <w:sz w:val="22"/>
                <w:szCs w:val="22"/>
              </w:rPr>
              <w:t xml:space="preserve"> </w:t>
            </w:r>
            <w:r w:rsidRPr="000F6FAD">
              <w:rPr>
                <w:rFonts w:ascii="Century Gothic Light" w:hAnsi="Century Gothic Light" w:cs="Century Gothic Light"/>
                <w:iCs/>
                <w:color w:val="09223F"/>
                <w:sz w:val="22"/>
                <w:szCs w:val="22"/>
              </w:rPr>
              <w:t>represents the general contractor and its subcontractors in arbitration related to</w:t>
            </w:r>
            <w:r w:rsidRPr="000F6FAD">
              <w:rPr>
                <w:rFonts w:ascii="Century Gothic Light" w:hAnsi="Century Gothic Light" w:cs="Century Gothic Light"/>
                <w:i/>
                <w:iCs/>
                <w:color w:val="09223F"/>
                <w:sz w:val="22"/>
                <w:szCs w:val="22"/>
              </w:rPr>
              <w:t xml:space="preserve"> </w:t>
            </w:r>
            <w:r w:rsidRPr="000F6FAD">
              <w:rPr>
                <w:rFonts w:ascii="Century Gothic Light" w:hAnsi="Century Gothic Light" w:cs="Century Gothic Light"/>
                <w:iCs/>
                <w:color w:val="09223F"/>
                <w:sz w:val="22"/>
                <w:szCs w:val="22"/>
              </w:rPr>
              <w:t xml:space="preserve">construction of a </w:t>
            </w:r>
            <w:r w:rsidRPr="000F6FAD">
              <w:rPr>
                <w:rFonts w:ascii="Century Gothic Light" w:hAnsi="Century Gothic Light" w:cs="Century Gothic Light"/>
                <w:iCs/>
                <w:color w:val="09223F"/>
                <w:sz w:val="22"/>
                <w:szCs w:val="22"/>
              </w:rPr>
              <w:lastRenderedPageBreak/>
              <w:t>102 acre park in Las Vegas. APCO is seeking an equitable adjustment valued at $6 million and is defending counterclaims totaling $40 million.</w:t>
            </w:r>
            <w:r w:rsidRPr="000F6FAD">
              <w:rPr>
                <w:rFonts w:ascii="Century Gothic Light" w:hAnsi="Century Gothic Light" w:cs="Century Gothic Light"/>
                <w:i/>
                <w:iCs/>
                <w:color w:val="09223F"/>
                <w:sz w:val="22"/>
                <w:szCs w:val="22"/>
              </w:rPr>
              <w:t xml:space="preserve"> </w:t>
            </w:r>
          </w:p>
          <w:p w:rsidRPr="000F6FAD" w:rsidR="000F6FAD" w:rsidP="000F6FAD" w:rsidRDefault="000F6FAD" w14:paraId="6CB89E5D" w14:textId="7BF76CEB">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0F6FAD">
              <w:rPr>
                <w:rFonts w:ascii="Century Gothic Light" w:hAnsi="Century Gothic Light" w:cs="Century Gothic Light"/>
                <w:i/>
                <w:iCs/>
                <w:color w:val="09223F"/>
                <w:sz w:val="22"/>
                <w:szCs w:val="22"/>
              </w:rPr>
              <w:t xml:space="preserve">Appeal of Meadow Valley Contractors, Inc., December 27, 2007 (No. CBCA 974.)  </w:t>
            </w:r>
            <w:r w:rsidRPr="000F6FAD">
              <w:rPr>
                <w:rFonts w:ascii="Century Gothic Light" w:hAnsi="Century Gothic Light" w:cs="Century Gothic Light"/>
                <w:iCs/>
                <w:color w:val="09223F"/>
                <w:sz w:val="22"/>
                <w:szCs w:val="22"/>
              </w:rPr>
              <w:t>Fennemore represented the general contractor in an appeal on a claim for equitable adjustment, remission and payment of liquidated damages, in the United States Civilian Board of Contract Appeals, Washington, D.C.</w:t>
            </w:r>
          </w:p>
          <w:p w:rsidRPr="000F6FAD" w:rsidR="000F6FAD" w:rsidP="000F6FAD" w:rsidRDefault="000F6FAD" w14:paraId="01A04489" w14:textId="38572890">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0F6FAD">
              <w:rPr>
                <w:rFonts w:ascii="Century Gothic Light" w:hAnsi="Century Gothic Light" w:cs="Century Gothic Light"/>
                <w:i/>
                <w:iCs/>
                <w:color w:val="09223F"/>
                <w:sz w:val="22"/>
                <w:szCs w:val="22"/>
              </w:rPr>
              <w:t xml:space="preserve">Meadow Valley Contractors v. County of Clark, August 15, 2007. </w:t>
            </w:r>
            <w:r w:rsidRPr="000F6FAD">
              <w:rPr>
                <w:rFonts w:ascii="Century Gothic Light" w:hAnsi="Century Gothic Light" w:cs="Century Gothic Light"/>
                <w:iCs/>
                <w:color w:val="09223F"/>
                <w:sz w:val="22"/>
                <w:szCs w:val="22"/>
              </w:rPr>
              <w:t>Fennemore represented the general contractor in an American Arbitration Association arbitration case affecting construction change authorizations and excavation quantities and select backfill quantities exceeding amounts set forth in the Contract.</w:t>
            </w:r>
          </w:p>
          <w:p w:rsidRPr="004533D0" w:rsidR="004533D0" w:rsidP="000F6FAD" w:rsidRDefault="000F6FAD" w14:paraId="2B062548" w14:textId="3BBD608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F6FAD">
              <w:rPr>
                <w:rFonts w:ascii="Century Gothic Light" w:hAnsi="Century Gothic Light" w:cs="Century Gothic Light"/>
                <w:i/>
                <w:iCs/>
                <w:color w:val="09223F"/>
                <w:sz w:val="22"/>
                <w:szCs w:val="22"/>
              </w:rPr>
              <w:t xml:space="preserve">C.S. </w:t>
            </w:r>
            <w:proofErr w:type="spellStart"/>
            <w:r w:rsidRPr="000F6FAD">
              <w:rPr>
                <w:rFonts w:ascii="Century Gothic Light" w:hAnsi="Century Gothic Light" w:cs="Century Gothic Light"/>
                <w:i/>
                <w:iCs/>
                <w:color w:val="09223F"/>
                <w:sz w:val="22"/>
                <w:szCs w:val="22"/>
              </w:rPr>
              <w:t>McCrossan</w:t>
            </w:r>
            <w:proofErr w:type="spellEnd"/>
            <w:r w:rsidRPr="000F6FAD">
              <w:rPr>
                <w:rFonts w:ascii="Century Gothic Light" w:hAnsi="Century Gothic Light" w:cs="Century Gothic Light"/>
                <w:i/>
                <w:iCs/>
                <w:color w:val="09223F"/>
                <w:sz w:val="22"/>
                <w:szCs w:val="22"/>
              </w:rPr>
              <w:t xml:space="preserve">, Inc. v. The United States No. (05-1065C), October, 2005. </w:t>
            </w:r>
            <w:r w:rsidRPr="000F6FAD">
              <w:rPr>
                <w:rFonts w:ascii="Century Gothic Light" w:hAnsi="Century Gothic Light" w:cs="Century Gothic Light"/>
                <w:iCs/>
                <w:color w:val="09223F"/>
                <w:sz w:val="22"/>
                <w:szCs w:val="22"/>
              </w:rPr>
              <w:t>Fennemore represented the general contract in connection with a complaint requesting judgment on compensable delays and order of remission of liquidated damages.</w:t>
            </w:r>
          </w:p>
        </w:tc>
      </w:tr>
      <w:tr w:rsidR="004533D0" w:rsidTr="15032190" w14:paraId="731970D6" w14:textId="77777777">
        <w:trPr>
          <w:trHeight w:val="288"/>
        </w:trPr>
        <w:tc>
          <w:tcPr>
            <w:tcW w:w="10299" w:type="dxa"/>
            <w:tcMar/>
          </w:tcPr>
          <w:p w:rsidRPr="008F5DD7" w:rsidR="004533D0" w:rsidP="00996259" w:rsidRDefault="004533D0" w14:paraId="1485FBCC" w14:textId="77777777">
            <w:pPr>
              <w:pStyle w:val="BasicParagraph"/>
              <w:rPr>
                <w:rFonts w:ascii="Century Gothic Light" w:hAnsi="Century Gothic Light" w:cs="Century Gothic Light"/>
                <w:caps/>
                <w:color w:val="F5821F"/>
                <w:szCs w:val="28"/>
              </w:rPr>
            </w:pPr>
          </w:p>
        </w:tc>
      </w:tr>
      <w:tr w:rsidR="0002353F" w:rsidTr="15032190" w14:paraId="4BBBFC4C" w14:textId="77777777">
        <w:trPr>
          <w:trHeight w:val="288"/>
        </w:trPr>
        <w:tc>
          <w:tcPr>
            <w:tcW w:w="10299" w:type="dxa"/>
            <w:tcMar/>
          </w:tcPr>
          <w:p w:rsidRPr="00996259" w:rsidR="0002353F" w:rsidP="0002353F" w:rsidRDefault="0002353F" w14:paraId="3D2A96DB" w14:textId="636BE8DB">
            <w:pPr>
              <w:pStyle w:val="BasicParagraph"/>
              <w:rPr>
                <w:rFonts w:ascii="Century Gothic Light" w:hAnsi="Century Gothic Light" w:cs="Century Gothic Light"/>
                <w:caps/>
                <w:color w:val="F5821F"/>
                <w:sz w:val="28"/>
                <w:szCs w:val="32"/>
              </w:rPr>
            </w:pPr>
            <w:r w:rsidRPr="15032190" w:rsidR="15032190">
              <w:rPr>
                <w:rFonts w:ascii="Century Gothic Light" w:hAnsi="Century Gothic Light" w:cs="Century Gothic Light"/>
                <w:caps w:val="1"/>
                <w:color w:val="F5821F"/>
                <w:sz w:val="28"/>
                <w:szCs w:val="28"/>
              </w:rPr>
              <w:t>awards and honors</w:t>
            </w:r>
          </w:p>
          <w:p w:rsidR="15032190" w:rsidP="15032190" w:rsidRDefault="15032190" w14:paraId="787FFCF2" w14:textId="500A4EE7">
            <w:pPr>
              <w:pStyle w:val="BasicParagraph"/>
              <w:numPr>
                <w:ilvl w:val="0"/>
                <w:numId w:val="1"/>
              </w:numPr>
              <w:spacing w:line="240" w:lineRule="auto"/>
              <w:rPr>
                <w:rFonts w:ascii="MinionPro-Regular" w:hAnsi="MinionPro-Regular" w:eastAsia="MinionPro-Regular" w:cs="MinionPro-Regular"/>
                <w:i w:val="1"/>
                <w:iCs w:val="1"/>
                <w:color w:val="000000"/>
                <w:sz w:val="24"/>
                <w:szCs w:val="24"/>
              </w:rPr>
            </w:pPr>
            <w:r w:rsidRPr="15032190" w:rsidR="15032190">
              <w:rPr>
                <w:rFonts w:ascii="Century Gothic Light" w:hAnsi="Century Gothic Light" w:cs="Century Gothic Light"/>
                <w:i w:val="1"/>
                <w:iCs w:val="1"/>
                <w:color w:val="09223F"/>
                <w:sz w:val="22"/>
                <w:szCs w:val="22"/>
              </w:rPr>
              <w:t>Best Lawyers in America®, Commercial Litigation, Construction Law, Litigation - Construction, 2005-2022</w:t>
            </w:r>
          </w:p>
          <w:p w:rsidRPr="006C3477" w:rsidR="006C3477" w:rsidP="15032190" w:rsidRDefault="006C3477" w14:paraId="2714C2FA" w14:textId="28259EE1">
            <w:pPr>
              <w:pStyle w:val="BasicParagraph"/>
              <w:numPr>
                <w:ilvl w:val="0"/>
                <w:numId w:val="1"/>
              </w:numPr>
              <w:suppressAutoHyphens/>
              <w:spacing w:line="240" w:lineRule="auto"/>
              <w:rPr>
                <w:rFonts w:ascii="Century Gothic Light" w:hAnsi="Century Gothic Light" w:cs="Century Gothic Light"/>
                <w:i w:val="1"/>
                <w:iCs w:val="1"/>
                <w:color w:val="09223F"/>
                <w:sz w:val="22"/>
                <w:szCs w:val="22"/>
              </w:rPr>
            </w:pPr>
            <w:r w:rsidRPr="15032190" w:rsidR="15032190">
              <w:rPr>
                <w:rFonts w:ascii="Century Gothic Light" w:hAnsi="Century Gothic Light" w:cs="Century Gothic Light"/>
                <w:i w:val="1"/>
                <w:iCs w:val="1"/>
                <w:color w:val="09223F"/>
                <w:sz w:val="22"/>
                <w:szCs w:val="22"/>
              </w:rPr>
              <w:t>Southwest Super Lawyers</w:t>
            </w:r>
            <w:r w:rsidRPr="15032190" w:rsidR="15032190">
              <w:rPr>
                <w:rFonts w:ascii="Century Gothic Light" w:hAnsi="Century Gothic Light" w:cs="Century Gothic Light"/>
                <w:color w:val="09223F"/>
                <w:sz w:val="22"/>
                <w:szCs w:val="22"/>
                <w:vertAlign w:val="superscript"/>
              </w:rPr>
              <w:t>®</w:t>
            </w:r>
            <w:r w:rsidRPr="15032190" w:rsidR="15032190">
              <w:rPr>
                <w:rFonts w:ascii="Century Gothic Light" w:hAnsi="Century Gothic Light" w:cs="Century Gothic Light"/>
                <w:i w:val="1"/>
                <w:iCs w:val="1"/>
                <w:color w:val="09223F"/>
                <w:sz w:val="22"/>
                <w:szCs w:val="22"/>
              </w:rPr>
              <w:t xml:space="preserve">, </w:t>
            </w:r>
            <w:r w:rsidRPr="15032190" w:rsidR="15032190">
              <w:rPr>
                <w:rFonts w:ascii="Century Gothic Light" w:hAnsi="Century Gothic Light" w:cs="Century Gothic Light"/>
                <w:color w:val="09223F"/>
                <w:sz w:val="22"/>
                <w:szCs w:val="22"/>
              </w:rPr>
              <w:t>Construction Litigation, 2009-2016, 2020</w:t>
            </w:r>
          </w:p>
          <w:p w:rsidR="15032190" w:rsidP="15032190" w:rsidRDefault="15032190" w14:paraId="5BDBF1B3" w14:textId="5DB59810">
            <w:pPr>
              <w:pStyle w:val="BasicParagraph"/>
              <w:numPr>
                <w:ilvl w:val="0"/>
                <w:numId w:val="1"/>
              </w:numPr>
              <w:spacing w:line="240" w:lineRule="auto"/>
              <w:rPr>
                <w:rFonts w:ascii="MinionPro-Regular" w:hAnsi="MinionPro-Regular" w:eastAsia="MinionPro-Regular" w:cs="MinionPro-Regular"/>
                <w:i w:val="1"/>
                <w:iCs w:val="1"/>
                <w:color w:val="000000"/>
                <w:sz w:val="24"/>
                <w:szCs w:val="24"/>
              </w:rPr>
            </w:pPr>
            <w:r w:rsidRPr="15032190" w:rsidR="15032190">
              <w:rPr>
                <w:rFonts w:ascii="Century Gothic Light" w:hAnsi="Century Gothic Light" w:cs="Century Gothic Light"/>
                <w:i w:val="1"/>
                <w:iCs w:val="1"/>
                <w:color w:val="09223F"/>
                <w:sz w:val="22"/>
                <w:szCs w:val="22"/>
              </w:rPr>
              <w:t>Best Lawyers in America</w:t>
            </w:r>
            <w:r w:rsidRPr="15032190" w:rsidR="15032190">
              <w:rPr>
                <w:rFonts w:ascii="Century Gothic Light" w:hAnsi="Century Gothic Light" w:cs="Century Gothic Light"/>
                <w:color w:val="09223F"/>
                <w:sz w:val="22"/>
                <w:szCs w:val="22"/>
                <w:vertAlign w:val="superscript"/>
              </w:rPr>
              <w:t>®</w:t>
            </w:r>
            <w:r w:rsidRPr="15032190" w:rsidR="15032190">
              <w:rPr>
                <w:rFonts w:ascii="MinionPro-Regular" w:hAnsi="MinionPro-Regular" w:eastAsia="Calibri" w:cs="MinionPro-Regular"/>
                <w:color w:val="000000"/>
                <w:sz w:val="24"/>
                <w:szCs w:val="24"/>
              </w:rPr>
              <w:t xml:space="preserve">, </w:t>
            </w:r>
            <w:r w:rsidRPr="15032190" w:rsidR="15032190">
              <w:rPr>
                <w:rFonts w:ascii="Century Gothic Light" w:hAnsi="Century Gothic Light" w:eastAsia="Century Gothic Light" w:cs="Century Gothic Light"/>
                <w:i w:val="1"/>
                <w:iCs w:val="1"/>
                <w:color w:val="000000"/>
                <w:sz w:val="22"/>
                <w:szCs w:val="22"/>
              </w:rPr>
              <w:t>Lawyer of the Year</w:t>
            </w:r>
            <w:r w:rsidRPr="15032190" w:rsidR="15032190">
              <w:rPr>
                <w:rFonts w:ascii="MinionPro-Regular" w:hAnsi="MinionPro-Regular" w:eastAsia="Calibri" w:cs="MinionPro-Regular"/>
                <w:color w:val="000000"/>
                <w:sz w:val="24"/>
                <w:szCs w:val="24"/>
              </w:rPr>
              <w:t xml:space="preserve">, </w:t>
            </w:r>
            <w:r w:rsidRPr="15032190" w:rsidR="15032190">
              <w:rPr>
                <w:rFonts w:ascii="Century Gothic Light" w:hAnsi="Century Gothic Light" w:eastAsia="Century Gothic Light" w:cs="Century Gothic Light"/>
                <w:color w:val="000000"/>
                <w:sz w:val="22"/>
                <w:szCs w:val="22"/>
              </w:rPr>
              <w:t>Construction Law, 2018</w:t>
            </w:r>
          </w:p>
          <w:p w:rsidRPr="006C3477" w:rsidR="006C3477" w:rsidP="006C3477" w:rsidRDefault="006C3477" w14:paraId="4FB1AD3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Arizona’s Top Lawyers, Construction Litigation,</w:t>
            </w:r>
            <w:r w:rsidRPr="15032190" w:rsidR="15032190">
              <w:rPr>
                <w:rFonts w:ascii="Century Gothic Light" w:hAnsi="Century Gothic Light" w:cs="Century Gothic Light"/>
                <w:i w:val="1"/>
                <w:iCs w:val="1"/>
                <w:color w:val="09223F"/>
                <w:sz w:val="22"/>
                <w:szCs w:val="22"/>
              </w:rPr>
              <w:t xml:space="preserve"> AZ Business Magazine,</w:t>
            </w:r>
            <w:r w:rsidRPr="15032190" w:rsidR="15032190">
              <w:rPr>
                <w:rFonts w:ascii="Century Gothic Light" w:hAnsi="Century Gothic Light" w:cs="Century Gothic Light"/>
                <w:color w:val="09223F"/>
                <w:sz w:val="22"/>
                <w:szCs w:val="22"/>
              </w:rPr>
              <w:t xml:space="preserve"> 2014</w:t>
            </w:r>
          </w:p>
          <w:p w:rsidRPr="0002353F" w:rsidR="0002353F" w:rsidP="006C3477" w:rsidRDefault="0002353F" w14:paraId="708C26DE" w14:textId="303A829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AV</w:t>
            </w:r>
            <w:r w:rsidRPr="15032190" w:rsidR="15032190">
              <w:rPr>
                <w:rFonts w:ascii="Century Gothic Light" w:hAnsi="Century Gothic Light" w:cs="Century Gothic Light"/>
                <w:color w:val="09223F"/>
                <w:sz w:val="22"/>
                <w:szCs w:val="22"/>
                <w:vertAlign w:val="superscript"/>
              </w:rPr>
              <w:t>®</w:t>
            </w:r>
            <w:r w:rsidRPr="15032190" w:rsidR="15032190">
              <w:rPr>
                <w:rFonts w:ascii="Century Gothic Light" w:hAnsi="Century Gothic Light" w:cs="Century Gothic Light"/>
                <w:color w:val="09223F"/>
                <w:sz w:val="22"/>
                <w:szCs w:val="22"/>
              </w:rPr>
              <w:t xml:space="preserve"> Preeminent™ Peer Review Rated (the highest rating available), by Martindale-Hubbell</w:t>
            </w:r>
          </w:p>
        </w:tc>
      </w:tr>
      <w:tr w:rsidR="0002353F" w:rsidTr="15032190" w14:paraId="4AE61E18" w14:textId="77777777">
        <w:trPr>
          <w:trHeight w:val="288"/>
        </w:trPr>
        <w:tc>
          <w:tcPr>
            <w:tcW w:w="10299" w:type="dxa"/>
            <w:tcMar/>
          </w:tcPr>
          <w:p w:rsidRPr="008F5DD7" w:rsidR="0002353F" w:rsidP="00996259" w:rsidRDefault="0002353F" w14:paraId="0E256025" w14:textId="77777777">
            <w:pPr>
              <w:pStyle w:val="BasicParagraph"/>
              <w:rPr>
                <w:rFonts w:ascii="Century Gothic Light" w:hAnsi="Century Gothic Light" w:cs="Century Gothic Light"/>
                <w:caps/>
                <w:color w:val="F5821F"/>
                <w:szCs w:val="28"/>
              </w:rPr>
            </w:pPr>
          </w:p>
        </w:tc>
      </w:tr>
      <w:tr w:rsidR="0002353F" w:rsidTr="15032190" w14:paraId="14A39116" w14:textId="77777777">
        <w:trPr>
          <w:trHeight w:val="288"/>
        </w:trPr>
        <w:tc>
          <w:tcPr>
            <w:tcW w:w="10299" w:type="dxa"/>
            <w:tcMar/>
          </w:tcPr>
          <w:p w:rsidRPr="00996259" w:rsidR="0002353F" w:rsidP="0002353F" w:rsidRDefault="0002353F" w14:paraId="67FFFD8A" w14:textId="4F34F87E">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6C3477" w:rsidR="006C3477" w:rsidP="006C3477" w:rsidRDefault="006C3477" w14:paraId="1DA7FFF0" w14:textId="74D692A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Member, Public Contracts Section, American Bar Association</w:t>
            </w:r>
          </w:p>
          <w:p w:rsidRPr="006C3477" w:rsidR="006C3477" w:rsidP="006C3477" w:rsidRDefault="006C3477" w14:paraId="51126B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Member, Maricopa County Bar Association</w:t>
            </w:r>
          </w:p>
          <w:p w:rsidRPr="006C3477" w:rsidR="006C3477" w:rsidP="006C3477" w:rsidRDefault="006C3477" w14:paraId="12657D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Member, State Bar of Arizona</w:t>
            </w:r>
          </w:p>
          <w:p w:rsidRPr="006C3477" w:rsidR="006C3477" w:rsidP="006C3477" w:rsidRDefault="006C3477" w14:paraId="0315A0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Member, State Bar of Nevada</w:t>
            </w:r>
          </w:p>
          <w:p w:rsidRPr="0002353F" w:rsidR="0002353F" w:rsidP="006C3477" w:rsidRDefault="006C3477" w14:paraId="54FD4DEE" w14:textId="1774FBA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Past Member, Board of Governors, Construction Law Section, State Bar of Arizona</w:t>
            </w:r>
          </w:p>
        </w:tc>
      </w:tr>
      <w:tr w:rsidR="0002353F" w:rsidTr="15032190"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996259" w:rsidTr="15032190"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02353F" w:rsidR="0002353F" w:rsidP="0002353F" w:rsidRDefault="0002353F" w14:paraId="45F55AD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Arizona</w:t>
            </w:r>
          </w:p>
          <w:p w:rsidRPr="00340AE6" w:rsidR="00AD3FAF" w:rsidP="0002353F" w:rsidRDefault="006C3477" w14:paraId="044073AE" w14:textId="6A3B7C3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15032190" w:rsidR="15032190">
              <w:rPr>
                <w:rFonts w:ascii="Century Gothic Light" w:hAnsi="Century Gothic Light" w:cs="Century Gothic Light"/>
                <w:color w:val="09223F"/>
                <w:sz w:val="22"/>
                <w:szCs w:val="22"/>
              </w:rPr>
              <w:t>Nevada</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771" w:rsidP="008700A0" w:rsidRDefault="00262771" w14:paraId="7B13367C" w14:textId="77777777">
      <w:pPr>
        <w:spacing w:after="0" w:line="240" w:lineRule="auto"/>
      </w:pPr>
      <w:r>
        <w:separator/>
      </w:r>
    </w:p>
  </w:endnote>
  <w:endnote w:type="continuationSeparator" w:id="0">
    <w:p w:rsidR="00262771" w:rsidP="008700A0" w:rsidRDefault="00262771" w14:paraId="3FF197F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771" w:rsidP="008700A0" w:rsidRDefault="00262771" w14:paraId="557E1553" w14:textId="77777777">
      <w:pPr>
        <w:spacing w:after="0" w:line="240" w:lineRule="auto"/>
      </w:pPr>
      <w:r>
        <w:separator/>
      </w:r>
    </w:p>
  </w:footnote>
  <w:footnote w:type="continuationSeparator" w:id="0">
    <w:p w:rsidR="00262771" w:rsidP="008700A0" w:rsidRDefault="00262771" w14:paraId="187AD8A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25B9E9B9">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56BEBB37">
          <wp:simplePos x="0" y="0"/>
          <wp:positionH relativeFrom="margin">
            <wp:posOffset>-457200</wp:posOffset>
          </wp:positionH>
          <wp:positionV relativeFrom="margin">
            <wp:posOffset>-467360</wp:posOffset>
          </wp:positionV>
          <wp:extent cx="7772358"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665C1"/>
    <w:rsid w:val="000B29E6"/>
    <w:rsid w:val="000D1F5C"/>
    <w:rsid w:val="000D2207"/>
    <w:rsid w:val="000E3ECF"/>
    <w:rsid w:val="000F6FAD"/>
    <w:rsid w:val="001138EA"/>
    <w:rsid w:val="00124890"/>
    <w:rsid w:val="0019269A"/>
    <w:rsid w:val="001C6685"/>
    <w:rsid w:val="001F1000"/>
    <w:rsid w:val="00216E51"/>
    <w:rsid w:val="00217188"/>
    <w:rsid w:val="0021738A"/>
    <w:rsid w:val="002548B5"/>
    <w:rsid w:val="00262771"/>
    <w:rsid w:val="00266E0F"/>
    <w:rsid w:val="00290ABD"/>
    <w:rsid w:val="00290F41"/>
    <w:rsid w:val="002948E6"/>
    <w:rsid w:val="00295769"/>
    <w:rsid w:val="002A09FB"/>
    <w:rsid w:val="002A2E90"/>
    <w:rsid w:val="002D5A17"/>
    <w:rsid w:val="00312CFC"/>
    <w:rsid w:val="003203C6"/>
    <w:rsid w:val="00321EA2"/>
    <w:rsid w:val="0032458F"/>
    <w:rsid w:val="00325FC1"/>
    <w:rsid w:val="00332C98"/>
    <w:rsid w:val="00333AD5"/>
    <w:rsid w:val="00340AE6"/>
    <w:rsid w:val="00345563"/>
    <w:rsid w:val="00371E4C"/>
    <w:rsid w:val="003779A7"/>
    <w:rsid w:val="0039208F"/>
    <w:rsid w:val="003D6259"/>
    <w:rsid w:val="004533D0"/>
    <w:rsid w:val="004B0FA7"/>
    <w:rsid w:val="00515DE9"/>
    <w:rsid w:val="00517E18"/>
    <w:rsid w:val="005501CE"/>
    <w:rsid w:val="00551687"/>
    <w:rsid w:val="00566492"/>
    <w:rsid w:val="00587218"/>
    <w:rsid w:val="00590A25"/>
    <w:rsid w:val="005A05EE"/>
    <w:rsid w:val="005A0F4F"/>
    <w:rsid w:val="005D3709"/>
    <w:rsid w:val="005F080B"/>
    <w:rsid w:val="00617B93"/>
    <w:rsid w:val="00644C31"/>
    <w:rsid w:val="00655093"/>
    <w:rsid w:val="006C3477"/>
    <w:rsid w:val="00733A23"/>
    <w:rsid w:val="00772C3A"/>
    <w:rsid w:val="00795E7E"/>
    <w:rsid w:val="007C384C"/>
    <w:rsid w:val="007D2922"/>
    <w:rsid w:val="007F5739"/>
    <w:rsid w:val="00841578"/>
    <w:rsid w:val="0086010D"/>
    <w:rsid w:val="00863372"/>
    <w:rsid w:val="008700A0"/>
    <w:rsid w:val="00886858"/>
    <w:rsid w:val="008A29E8"/>
    <w:rsid w:val="008B0E1C"/>
    <w:rsid w:val="008D168A"/>
    <w:rsid w:val="008D5FA8"/>
    <w:rsid w:val="008D6B2D"/>
    <w:rsid w:val="008E06BB"/>
    <w:rsid w:val="008E6056"/>
    <w:rsid w:val="008F5DD7"/>
    <w:rsid w:val="009067C3"/>
    <w:rsid w:val="00911A93"/>
    <w:rsid w:val="00920E7D"/>
    <w:rsid w:val="009366B8"/>
    <w:rsid w:val="00937844"/>
    <w:rsid w:val="00950ADB"/>
    <w:rsid w:val="00965156"/>
    <w:rsid w:val="00996259"/>
    <w:rsid w:val="0099759E"/>
    <w:rsid w:val="009F59F7"/>
    <w:rsid w:val="00A01755"/>
    <w:rsid w:val="00A10950"/>
    <w:rsid w:val="00A44AD9"/>
    <w:rsid w:val="00A46A51"/>
    <w:rsid w:val="00A51833"/>
    <w:rsid w:val="00A52F24"/>
    <w:rsid w:val="00A87D32"/>
    <w:rsid w:val="00AA6CBE"/>
    <w:rsid w:val="00AB20C4"/>
    <w:rsid w:val="00AC17A3"/>
    <w:rsid w:val="00AD3BB1"/>
    <w:rsid w:val="00AD3FAF"/>
    <w:rsid w:val="00AE1C23"/>
    <w:rsid w:val="00B664FF"/>
    <w:rsid w:val="00B779C2"/>
    <w:rsid w:val="00B95D5D"/>
    <w:rsid w:val="00BA0567"/>
    <w:rsid w:val="00BA0C8B"/>
    <w:rsid w:val="00BA5277"/>
    <w:rsid w:val="00BC1370"/>
    <w:rsid w:val="00BC268B"/>
    <w:rsid w:val="00C15349"/>
    <w:rsid w:val="00C23A89"/>
    <w:rsid w:val="00C251B7"/>
    <w:rsid w:val="00C3111D"/>
    <w:rsid w:val="00C314DA"/>
    <w:rsid w:val="00C61BBC"/>
    <w:rsid w:val="00C727B6"/>
    <w:rsid w:val="00CC750D"/>
    <w:rsid w:val="00CD15B0"/>
    <w:rsid w:val="00CF5C24"/>
    <w:rsid w:val="00D23AE3"/>
    <w:rsid w:val="00D3611B"/>
    <w:rsid w:val="00DC046C"/>
    <w:rsid w:val="00DD3DB3"/>
    <w:rsid w:val="00DD7C9B"/>
    <w:rsid w:val="00DE4410"/>
    <w:rsid w:val="00E0643E"/>
    <w:rsid w:val="00E10978"/>
    <w:rsid w:val="00E4405C"/>
    <w:rsid w:val="00E51AB5"/>
    <w:rsid w:val="00ED2D47"/>
    <w:rsid w:val="00EE7F20"/>
    <w:rsid w:val="00EF6165"/>
    <w:rsid w:val="00F03F17"/>
    <w:rsid w:val="00F23DC3"/>
    <w:rsid w:val="00F86CD2"/>
    <w:rsid w:val="00F87B62"/>
    <w:rsid w:val="00FB06C0"/>
    <w:rsid w:val="00FC5E49"/>
    <w:rsid w:val="15032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8</revision>
  <lastPrinted>2021-01-06T16:12:00.0000000Z</lastPrinted>
  <dcterms:created xsi:type="dcterms:W3CDTF">2020-08-12T17:40:00.0000000Z</dcterms:created>
  <dcterms:modified xsi:type="dcterms:W3CDTF">2022-10-12T00:22:37.1791572Z</dcterms:modified>
</coreProperties>
</file>