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XSpec="right" w:tblpY="3856"/>
        <w:tblW w:w="102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299"/>
      </w:tblGrid>
      <w:tr w:rsidR="008700A0" w:rsidTr="7F82BFA7" w14:paraId="3E2643B7" w14:textId="77777777">
        <w:trPr>
          <w:trHeight w:val="579"/>
        </w:trPr>
        <w:tc>
          <w:tcPr>
            <w:tcW w:w="10299" w:type="dxa"/>
            <w:tcMar/>
          </w:tcPr>
          <w:p w:rsidR="0051632F" w:rsidP="0051632F" w:rsidRDefault="0051632F" w14:paraId="1D890BF7" w14:textId="425E1F31">
            <w:pPr>
              <w:rPr>
                <w:rFonts w:cs="Century Gothic Light"/>
                <w:color w:val="09223F"/>
              </w:rPr>
            </w:pPr>
            <w:r w:rsidRPr="0051632F">
              <w:rPr>
                <w:rFonts w:cs="Century Gothic Light"/>
                <w:color w:val="09223F"/>
              </w:rPr>
              <w:t xml:space="preserve">In 2021, </w:t>
            </w:r>
            <w:r w:rsidRPr="0051632F">
              <w:rPr>
                <w:rFonts w:cs="Century Gothic Light"/>
                <w:i/>
                <w:iCs/>
                <w:color w:val="09223F"/>
              </w:rPr>
              <w:t>Arizona Business Magazine r</w:t>
            </w:r>
            <w:r w:rsidRPr="0051632F">
              <w:rPr>
                <w:rFonts w:cs="Century Gothic Light"/>
                <w:color w:val="09223F"/>
              </w:rPr>
              <w:t xml:space="preserve">ated Todd as one of the top 100 lawyers in Arizona. In 2020, Todd Kartchner was recognized by </w:t>
            </w:r>
            <w:r w:rsidRPr="0051632F">
              <w:rPr>
                <w:rFonts w:cs="Century Gothic Light"/>
                <w:i/>
                <w:iCs/>
                <w:color w:val="09223F"/>
              </w:rPr>
              <w:t>Super Lawyers</w:t>
            </w:r>
            <w:r w:rsidRPr="0051632F">
              <w:rPr>
                <w:rFonts w:cs="Century Gothic Light"/>
                <w:i/>
                <w:iCs/>
                <w:color w:val="09223F"/>
                <w:vertAlign w:val="superscript"/>
              </w:rPr>
              <w:t>®</w:t>
            </w:r>
            <w:r w:rsidRPr="0051632F">
              <w:rPr>
                <w:rFonts w:cs="Century Gothic Light"/>
                <w:color w:val="09223F"/>
              </w:rPr>
              <w:t xml:space="preserve"> as one of the top 50 attorneys in the State of Arizona.</w:t>
            </w:r>
          </w:p>
          <w:p w:rsidRPr="0051632F" w:rsidR="0051632F" w:rsidP="0051632F" w:rsidRDefault="0051632F" w14:paraId="3E8D00A2" w14:textId="77777777">
            <w:pPr>
              <w:rPr>
                <w:rFonts w:cs="Century Gothic Light"/>
                <w:color w:val="09223F"/>
              </w:rPr>
            </w:pPr>
          </w:p>
          <w:p w:rsidR="0051632F" w:rsidP="0051632F" w:rsidRDefault="0051632F" w14:paraId="2D9CB2C3" w14:textId="2B6D9F09">
            <w:pPr>
              <w:rPr>
                <w:rFonts w:cs="Century Gothic Light"/>
                <w:color w:val="09223F"/>
              </w:rPr>
            </w:pPr>
            <w:r w:rsidRPr="0051632F">
              <w:rPr>
                <w:rFonts w:cs="Century Gothic Light"/>
                <w:color w:val="09223F"/>
              </w:rPr>
              <w:t>Todd serves on Fennemore's five-person management committee and as the firm’s Chief Privacy Officer. He also oversees litigation throughout the firm. Todd is licensed in three states (Arizona, Nevada and California) and represents clients in multiple jurisdictions throughout the country. In particular, Todd devotes his practice to the following:</w:t>
            </w:r>
          </w:p>
          <w:p w:rsidRPr="0051632F" w:rsidR="0051632F" w:rsidP="0051632F" w:rsidRDefault="0051632F" w14:paraId="277AE301" w14:textId="77777777">
            <w:pPr>
              <w:rPr>
                <w:rFonts w:cs="Century Gothic Light"/>
                <w:color w:val="09223F"/>
              </w:rPr>
            </w:pPr>
          </w:p>
          <w:p w:rsidRPr="0051632F" w:rsidR="0051632F" w:rsidP="0051632F" w:rsidRDefault="0051632F" w14:paraId="6F82A6DF" w14:textId="77777777">
            <w:pPr>
              <w:pStyle w:val="BasicParagraph"/>
              <w:numPr>
                <w:ilvl w:val="0"/>
                <w:numId w:val="1"/>
              </w:numPr>
              <w:suppressAutoHyphens/>
              <w:spacing w:line="240" w:lineRule="auto"/>
              <w:ind w:left="615" w:hanging="375"/>
              <w:rPr>
                <w:rFonts w:ascii="Century Gothic Light" w:hAnsi="Century Gothic Light" w:cs="Century Gothic Light"/>
                <w:color w:val="09223F"/>
                <w:sz w:val="22"/>
                <w:szCs w:val="22"/>
              </w:rPr>
            </w:pPr>
            <w:r w:rsidRPr="0051632F">
              <w:rPr>
                <w:rFonts w:ascii="Century Gothic Light" w:hAnsi="Century Gothic Light" w:cs="Century Gothic Light"/>
                <w:b/>
                <w:bCs/>
                <w:color w:val="09223F"/>
                <w:sz w:val="22"/>
                <w:szCs w:val="22"/>
              </w:rPr>
              <w:t>Data Privacy and Cybersecurity</w:t>
            </w:r>
            <w:r w:rsidRPr="0051632F">
              <w:rPr>
                <w:rFonts w:ascii="Century Gothic Light" w:hAnsi="Century Gothic Light" w:cs="Century Gothic Light"/>
                <w:color w:val="09223F"/>
                <w:sz w:val="22"/>
                <w:szCs w:val="22"/>
              </w:rPr>
              <w:t>: Todd counsels clients with regard to data privacy and cybersecurity issues, including compliance with U.S. federal and state privacy and information management requirements. Todd also provides counsel and assistance with security breaches, including breach investigations, customer and donor notification, and discussions and negotiations with hosting service providers.</w:t>
            </w:r>
          </w:p>
          <w:p w:rsidRPr="0051632F" w:rsidR="0051632F" w:rsidP="0051632F" w:rsidRDefault="0051632F" w14:paraId="3A8EC962" w14:textId="51A81297">
            <w:pPr>
              <w:pStyle w:val="BasicParagraph"/>
              <w:numPr>
                <w:ilvl w:val="0"/>
                <w:numId w:val="1"/>
              </w:numPr>
              <w:suppressAutoHyphens/>
              <w:spacing w:line="240" w:lineRule="auto"/>
              <w:ind w:left="615" w:hanging="375"/>
              <w:rPr>
                <w:rFonts w:ascii="Century Gothic Light" w:hAnsi="Century Gothic Light" w:cs="Century Gothic Light"/>
                <w:color w:val="09223F"/>
                <w:sz w:val="22"/>
                <w:szCs w:val="22"/>
              </w:rPr>
            </w:pPr>
            <w:r w:rsidRPr="0051632F">
              <w:rPr>
                <w:rFonts w:ascii="Century Gothic Light" w:hAnsi="Century Gothic Light" w:cs="Century Gothic Light"/>
                <w:b/>
                <w:bCs/>
                <w:color w:val="09223F"/>
                <w:sz w:val="22"/>
                <w:szCs w:val="22"/>
              </w:rPr>
              <w:t>Intellectual Property Litigation:</w:t>
            </w:r>
            <w:r w:rsidRPr="0051632F">
              <w:rPr>
                <w:rFonts w:ascii="Century Gothic Light" w:hAnsi="Century Gothic Light" w:cs="Century Gothic Light"/>
                <w:color w:val="09223F"/>
                <w:sz w:val="22"/>
                <w:szCs w:val="22"/>
              </w:rPr>
              <w:t xml:space="preserve"> Todd frequently represents clients in intellectual property cases involving patent, copyright, and trademark infringement. He has been particularly successful in combating patent trolls and protecting the interests of his clients from these predators.</w:t>
            </w:r>
          </w:p>
          <w:p w:rsidRPr="0051632F" w:rsidR="0051632F" w:rsidP="0051632F" w:rsidRDefault="0051632F" w14:paraId="662C0B44" w14:textId="77777777">
            <w:pPr>
              <w:pStyle w:val="BasicParagraph"/>
              <w:numPr>
                <w:ilvl w:val="0"/>
                <w:numId w:val="1"/>
              </w:numPr>
              <w:suppressAutoHyphens/>
              <w:spacing w:line="240" w:lineRule="auto"/>
              <w:ind w:left="615" w:hanging="375"/>
              <w:rPr>
                <w:rFonts w:ascii="Century Gothic Light" w:hAnsi="Century Gothic Light" w:cs="Century Gothic Light"/>
                <w:color w:val="09223F"/>
                <w:sz w:val="22"/>
                <w:szCs w:val="22"/>
              </w:rPr>
            </w:pPr>
            <w:r w:rsidRPr="0051632F">
              <w:rPr>
                <w:rFonts w:ascii="Century Gothic Light" w:hAnsi="Century Gothic Light" w:cs="Century Gothic Light"/>
                <w:b/>
                <w:bCs/>
                <w:color w:val="09223F"/>
                <w:sz w:val="22"/>
                <w:szCs w:val="22"/>
              </w:rPr>
              <w:t>Indian Law</w:t>
            </w:r>
            <w:r w:rsidRPr="0051632F">
              <w:rPr>
                <w:rFonts w:ascii="Century Gothic Light" w:hAnsi="Century Gothic Light" w:cs="Century Gothic Light"/>
                <w:color w:val="09223F"/>
                <w:sz w:val="22"/>
                <w:szCs w:val="22"/>
              </w:rPr>
              <w:t>: Todd frequently represents Indian tribes and fights aggressively to protect their interests. He is well-versed in gaming compacts, tribal sovereignty, tribal jurisdiction, contracts with private entities and intergovernmental agreements.</w:t>
            </w:r>
          </w:p>
          <w:p w:rsidRPr="0051632F" w:rsidR="0051632F" w:rsidP="0051632F" w:rsidRDefault="0051632F" w14:paraId="42B924D1" w14:textId="77777777">
            <w:pPr>
              <w:pStyle w:val="BasicParagraph"/>
              <w:numPr>
                <w:ilvl w:val="0"/>
                <w:numId w:val="1"/>
              </w:numPr>
              <w:suppressAutoHyphens/>
              <w:spacing w:line="240" w:lineRule="auto"/>
              <w:ind w:left="615" w:hanging="375"/>
              <w:rPr>
                <w:rFonts w:ascii="Century Gothic Light" w:hAnsi="Century Gothic Light" w:cs="Century Gothic Light"/>
                <w:color w:val="09223F"/>
                <w:sz w:val="22"/>
                <w:szCs w:val="22"/>
              </w:rPr>
            </w:pPr>
            <w:r w:rsidRPr="0051632F">
              <w:rPr>
                <w:rFonts w:ascii="Century Gothic Light" w:hAnsi="Century Gothic Light" w:cs="Century Gothic Light"/>
                <w:b/>
                <w:bCs/>
                <w:color w:val="09223F"/>
                <w:sz w:val="22"/>
                <w:szCs w:val="22"/>
              </w:rPr>
              <w:t xml:space="preserve">Blockchain and Cryptocurrency: </w:t>
            </w:r>
            <w:r w:rsidRPr="0051632F">
              <w:rPr>
                <w:rFonts w:ascii="Century Gothic Light" w:hAnsi="Century Gothic Light" w:cs="Century Gothic Light"/>
                <w:color w:val="09223F"/>
                <w:sz w:val="22"/>
                <w:szCs w:val="22"/>
              </w:rPr>
              <w:t>Todd is a thought leader in the burgeoning fields of blockchain and cryptocurrency law, including smart contracts and digital currencies. He is knowledgeable in the SEC regulations applicable to these revolutionary technologies.</w:t>
            </w:r>
          </w:p>
          <w:p w:rsidR="0051632F" w:rsidP="0051632F" w:rsidRDefault="0051632F" w14:paraId="2C05F88A" w14:textId="77777777">
            <w:pPr>
              <w:rPr>
                <w:rFonts w:cs="Century Gothic Light"/>
                <w:color w:val="09223F"/>
              </w:rPr>
            </w:pPr>
          </w:p>
          <w:p w:rsidR="0051632F" w:rsidP="0051632F" w:rsidRDefault="0051632F" w14:paraId="53C63C18" w14:textId="7C1C97A7">
            <w:pPr>
              <w:rPr>
                <w:rFonts w:cs="Century Gothic Light"/>
                <w:color w:val="09223F"/>
              </w:rPr>
            </w:pPr>
            <w:r w:rsidRPr="0051632F">
              <w:rPr>
                <w:rFonts w:cs="Century Gothic Light"/>
                <w:color w:val="09223F"/>
              </w:rPr>
              <w:t>Todd also has wide-ranging experience in the telecommunications industry, particularly in representing infrastructure providers as well as developers specializing in multi-dwelling units (MDUs).</w:t>
            </w:r>
          </w:p>
          <w:p w:rsidRPr="0051632F" w:rsidR="0051632F" w:rsidP="0051632F" w:rsidRDefault="0051632F" w14:paraId="6FF2D37B" w14:textId="77777777">
            <w:pPr>
              <w:rPr>
                <w:rFonts w:cs="Century Gothic Light"/>
                <w:color w:val="09223F"/>
              </w:rPr>
            </w:pPr>
          </w:p>
          <w:p w:rsidR="0051632F" w:rsidP="0051632F" w:rsidRDefault="0051632F" w14:paraId="76FC3A35" w14:textId="37DDFCE7">
            <w:pPr>
              <w:rPr>
                <w:rFonts w:cs="Century Gothic Light"/>
                <w:color w:val="09223F"/>
              </w:rPr>
            </w:pPr>
            <w:r w:rsidRPr="0051632F">
              <w:rPr>
                <w:rFonts w:cs="Century Gothic Light"/>
                <w:color w:val="09223F"/>
              </w:rPr>
              <w:t>Outside of work, Todd enjoys spending time with his wife and six active children.</w:t>
            </w:r>
          </w:p>
          <w:p w:rsidRPr="0051632F" w:rsidR="0051632F" w:rsidP="0051632F" w:rsidRDefault="0051632F" w14:paraId="5A3BFFC9" w14:textId="77777777">
            <w:pPr>
              <w:rPr>
                <w:rFonts w:cs="Century Gothic Light"/>
                <w:color w:val="09223F"/>
              </w:rPr>
            </w:pPr>
          </w:p>
          <w:p w:rsidRPr="003779A7" w:rsidR="008700A0" w:rsidP="0051632F" w:rsidRDefault="0051632F" w14:paraId="39C10D41" w14:textId="45520D1F">
            <w:pPr>
              <w:rPr>
                <w:rFonts w:cs="Century Gothic Light"/>
                <w:color w:val="09223F"/>
              </w:rPr>
            </w:pPr>
            <w:r w:rsidRPr="0051632F">
              <w:rPr>
                <w:rFonts w:cs="Century Gothic Light"/>
                <w:color w:val="09223F"/>
              </w:rPr>
              <w:lastRenderedPageBreak/>
              <w:t>A competitor by nature, Todd is an avid cyclist who stays in shape by competing in rigorous time trials.</w:t>
            </w:r>
          </w:p>
        </w:tc>
      </w:tr>
      <w:tr w:rsidR="008700A0" w:rsidTr="7F82BFA7" w14:paraId="7B190A89" w14:textId="77777777">
        <w:trPr>
          <w:trHeight w:val="579"/>
        </w:trPr>
        <w:tc>
          <w:tcPr>
            <w:tcW w:w="10299" w:type="dxa"/>
            <w:tcMar/>
          </w:tcPr>
          <w:p w:rsidR="008700A0" w:rsidP="008700A0" w:rsidRDefault="008700A0" w14:paraId="5D0099CC" w14:textId="77777777">
            <w:pPr>
              <w:pStyle w:val="BasicParagraph"/>
              <w:suppressAutoHyphens/>
              <w:spacing w:line="240" w:lineRule="auto"/>
              <w:rPr>
                <w:rFonts w:ascii="Century Gothic Light" w:hAnsi="Century Gothic Light" w:cs="Century Gothic Light"/>
                <w:color w:val="09223F"/>
                <w:sz w:val="22"/>
                <w:szCs w:val="22"/>
              </w:rPr>
            </w:pPr>
          </w:p>
        </w:tc>
      </w:tr>
      <w:tr w:rsidR="008700A0" w:rsidTr="7F82BFA7" w14:paraId="42185E66" w14:textId="77777777">
        <w:trPr>
          <w:trHeight w:val="357"/>
        </w:trPr>
        <w:tc>
          <w:tcPr>
            <w:tcW w:w="10299" w:type="dxa"/>
            <w:tcMar/>
          </w:tcPr>
          <w:p w:rsidRPr="00996259" w:rsidR="008700A0" w:rsidP="008700A0" w:rsidRDefault="008700A0" w14:paraId="0AB62B66"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EDUCATION</w:t>
            </w:r>
          </w:p>
          <w:p w:rsidRPr="005430CB" w:rsidR="005430CB" w:rsidP="005430CB" w:rsidRDefault="005430CB" w14:paraId="1474577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430CB">
              <w:rPr>
                <w:rFonts w:ascii="Century Gothic Light" w:hAnsi="Century Gothic Light" w:cs="Century Gothic Light"/>
                <w:color w:val="09223F"/>
                <w:sz w:val="22"/>
                <w:szCs w:val="22"/>
              </w:rPr>
              <w:t xml:space="preserve">J.D., </w:t>
            </w:r>
            <w:r w:rsidRPr="005430CB">
              <w:rPr>
                <w:rFonts w:ascii="Century Gothic Light" w:hAnsi="Century Gothic Light" w:cs="Century Gothic Light"/>
                <w:i/>
                <w:iCs/>
                <w:color w:val="09223F"/>
                <w:sz w:val="22"/>
                <w:szCs w:val="22"/>
              </w:rPr>
              <w:t>magna cum laude,</w:t>
            </w:r>
            <w:r w:rsidRPr="005430CB">
              <w:rPr>
                <w:rFonts w:ascii="Century Gothic Light" w:hAnsi="Century Gothic Light" w:cs="Century Gothic Light"/>
                <w:color w:val="09223F"/>
                <w:sz w:val="22"/>
                <w:szCs w:val="22"/>
              </w:rPr>
              <w:t xml:space="preserve"> University of Arizona, James E. Rogers College of Law</w:t>
            </w:r>
          </w:p>
          <w:p w:rsidRPr="005430CB" w:rsidR="005430CB" w:rsidP="005430CB" w:rsidRDefault="005430CB" w14:paraId="4E4C697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430CB">
              <w:rPr>
                <w:rFonts w:ascii="Century Gothic Light" w:hAnsi="Century Gothic Light" w:cs="Century Gothic Light"/>
                <w:color w:val="09223F"/>
                <w:sz w:val="22"/>
                <w:szCs w:val="22"/>
              </w:rPr>
              <w:t>B.A., Brigham Young University</w:t>
            </w:r>
          </w:p>
          <w:p w:rsidRPr="005430CB" w:rsidR="005430CB" w:rsidP="005430CB" w:rsidRDefault="005430CB" w14:paraId="6476D00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430CB">
              <w:rPr>
                <w:rFonts w:ascii="Century Gothic Light" w:hAnsi="Century Gothic Light" w:cs="Century Gothic Light"/>
                <w:color w:val="09223F"/>
                <w:sz w:val="22"/>
                <w:szCs w:val="22"/>
              </w:rPr>
              <w:t>Order of the Coif</w:t>
            </w:r>
          </w:p>
          <w:p w:rsidRPr="00551687" w:rsidR="00AB20C4" w:rsidP="005430CB" w:rsidRDefault="005430CB" w14:paraId="3BF85D19" w14:textId="3D174F32">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430CB">
              <w:rPr>
                <w:rFonts w:ascii="Century Gothic Light" w:hAnsi="Century Gothic Light" w:cs="Century Gothic Light"/>
                <w:color w:val="09223F"/>
                <w:sz w:val="22"/>
                <w:szCs w:val="22"/>
              </w:rPr>
              <w:t>Judicial Law Clerk to the Honorable Earl H. Carroll, U.S. District Court for the District of Arizona, 2002-2003</w:t>
            </w:r>
          </w:p>
        </w:tc>
      </w:tr>
      <w:tr w:rsidR="00DE4410" w:rsidTr="7F82BFA7" w14:paraId="5AA1B251" w14:textId="77777777">
        <w:trPr>
          <w:trHeight w:val="288"/>
        </w:trPr>
        <w:tc>
          <w:tcPr>
            <w:tcW w:w="10299" w:type="dxa"/>
            <w:tcMar/>
          </w:tcPr>
          <w:p w:rsidRPr="008F5DD7" w:rsidR="00DE4410" w:rsidP="008700A0" w:rsidRDefault="00DE4410" w14:paraId="57BF22AA" w14:textId="77777777">
            <w:pPr>
              <w:pStyle w:val="BasicParagraph"/>
              <w:rPr>
                <w:rFonts w:ascii="Century Gothic Light" w:hAnsi="Century Gothic Light" w:cs="Century Gothic Light"/>
                <w:caps/>
                <w:color w:val="F5821F"/>
                <w:szCs w:val="28"/>
              </w:rPr>
            </w:pPr>
          </w:p>
        </w:tc>
      </w:tr>
      <w:tr w:rsidR="00996259" w:rsidTr="7F82BFA7" w14:paraId="26225FC7" w14:textId="77777777">
        <w:trPr>
          <w:trHeight w:val="360"/>
        </w:trPr>
        <w:tc>
          <w:tcPr>
            <w:tcW w:w="10299" w:type="dxa"/>
            <w:tcMar/>
          </w:tcPr>
          <w:p w:rsidRPr="00996259" w:rsidR="00996259" w:rsidP="00996259" w:rsidRDefault="00996259" w14:paraId="3BEA527C"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AREAS OF PRACTICE</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36"/>
              <w:gridCol w:w="5037"/>
            </w:tblGrid>
            <w:tr w:rsidR="008E6056" w:rsidTr="00197000" w14:paraId="2FD63DE2" w14:textId="77777777">
              <w:trPr>
                <w:trHeight w:val="195"/>
              </w:trPr>
              <w:tc>
                <w:tcPr>
                  <w:tcW w:w="5036" w:type="dxa"/>
                </w:tcPr>
                <w:p w:rsidRPr="005430CB" w:rsidR="005430CB" w:rsidP="00B44160" w:rsidRDefault="005430CB" w14:paraId="40E2D34B" w14:textId="77777777">
                  <w:pPr>
                    <w:pStyle w:val="BasicParagraph"/>
                    <w:framePr w:hSpace="180" w:wrap="around" w:hAnchor="margin" w:vAnchor="text" w:xAlign="right" w:y="3856"/>
                    <w:numPr>
                      <w:ilvl w:val="0"/>
                      <w:numId w:val="1"/>
                    </w:numPr>
                    <w:suppressAutoHyphens/>
                    <w:spacing w:line="240" w:lineRule="auto"/>
                    <w:ind w:left="615" w:hanging="375"/>
                    <w:rPr>
                      <w:rFonts w:ascii="Century Gothic Light" w:hAnsi="Century Gothic Light" w:cs="Century Gothic Light"/>
                      <w:color w:val="09223F"/>
                      <w:sz w:val="22"/>
                      <w:szCs w:val="22"/>
                    </w:rPr>
                  </w:pPr>
                  <w:r w:rsidRPr="005430CB">
                    <w:rPr>
                      <w:rFonts w:ascii="Century Gothic Light" w:hAnsi="Century Gothic Light" w:cs="Century Gothic Light"/>
                      <w:color w:val="09223F"/>
                      <w:sz w:val="22"/>
                      <w:szCs w:val="22"/>
                    </w:rPr>
                    <w:t>Asia Practice</w:t>
                  </w:r>
                </w:p>
                <w:p w:rsidRPr="005430CB" w:rsidR="005430CB" w:rsidP="00B44160" w:rsidRDefault="005430CB" w14:paraId="58D0B23F" w14:textId="77777777">
                  <w:pPr>
                    <w:pStyle w:val="BasicParagraph"/>
                    <w:framePr w:hSpace="180" w:wrap="around" w:hAnchor="margin" w:vAnchor="text" w:xAlign="right" w:y="3856"/>
                    <w:numPr>
                      <w:ilvl w:val="0"/>
                      <w:numId w:val="1"/>
                    </w:numPr>
                    <w:suppressAutoHyphens/>
                    <w:spacing w:line="240" w:lineRule="auto"/>
                    <w:ind w:left="615" w:hanging="375"/>
                    <w:rPr>
                      <w:rFonts w:ascii="Century Gothic Light" w:hAnsi="Century Gothic Light" w:cs="Century Gothic Light"/>
                      <w:color w:val="09223F"/>
                      <w:sz w:val="22"/>
                      <w:szCs w:val="22"/>
                    </w:rPr>
                  </w:pPr>
                  <w:r w:rsidRPr="005430CB">
                    <w:rPr>
                      <w:rFonts w:ascii="Century Gothic Light" w:hAnsi="Century Gothic Light" w:cs="Century Gothic Light"/>
                      <w:color w:val="09223F"/>
                      <w:sz w:val="22"/>
                      <w:szCs w:val="22"/>
                    </w:rPr>
                    <w:t>Business and Personal Injury Torts</w:t>
                  </w:r>
                </w:p>
                <w:p w:rsidRPr="005430CB" w:rsidR="005430CB" w:rsidP="00B44160" w:rsidRDefault="005430CB" w14:paraId="5952F819" w14:textId="77777777">
                  <w:pPr>
                    <w:pStyle w:val="BasicParagraph"/>
                    <w:framePr w:hSpace="180" w:wrap="around" w:hAnchor="margin" w:vAnchor="text" w:xAlign="right" w:y="3856"/>
                    <w:numPr>
                      <w:ilvl w:val="0"/>
                      <w:numId w:val="1"/>
                    </w:numPr>
                    <w:suppressAutoHyphens/>
                    <w:spacing w:line="240" w:lineRule="auto"/>
                    <w:ind w:left="615" w:hanging="375"/>
                    <w:rPr>
                      <w:rFonts w:ascii="Century Gothic Light" w:hAnsi="Century Gothic Light" w:cs="Century Gothic Light"/>
                      <w:color w:val="09223F"/>
                      <w:sz w:val="22"/>
                      <w:szCs w:val="22"/>
                    </w:rPr>
                  </w:pPr>
                  <w:r w:rsidRPr="005430CB">
                    <w:rPr>
                      <w:rFonts w:ascii="Century Gothic Light" w:hAnsi="Century Gothic Light" w:cs="Century Gothic Light"/>
                      <w:color w:val="09223F"/>
                      <w:sz w:val="22"/>
                      <w:szCs w:val="22"/>
                    </w:rPr>
                    <w:t>Business Litigation</w:t>
                  </w:r>
                </w:p>
                <w:p w:rsidRPr="005430CB" w:rsidR="005430CB" w:rsidP="00B44160" w:rsidRDefault="005430CB" w14:paraId="5F04AF6C" w14:textId="77777777">
                  <w:pPr>
                    <w:pStyle w:val="BasicParagraph"/>
                    <w:framePr w:hSpace="180" w:wrap="around" w:hAnchor="margin" w:vAnchor="text" w:xAlign="right" w:y="3856"/>
                    <w:numPr>
                      <w:ilvl w:val="0"/>
                      <w:numId w:val="1"/>
                    </w:numPr>
                    <w:suppressAutoHyphens/>
                    <w:spacing w:line="240" w:lineRule="auto"/>
                    <w:ind w:left="615" w:hanging="375"/>
                    <w:rPr>
                      <w:rFonts w:ascii="Century Gothic Light" w:hAnsi="Century Gothic Light" w:cs="Century Gothic Light"/>
                      <w:color w:val="09223F"/>
                      <w:sz w:val="22"/>
                      <w:szCs w:val="22"/>
                    </w:rPr>
                  </w:pPr>
                  <w:r w:rsidRPr="005430CB">
                    <w:rPr>
                      <w:rFonts w:ascii="Century Gothic Light" w:hAnsi="Century Gothic Light" w:cs="Century Gothic Light"/>
                      <w:color w:val="09223F"/>
                      <w:sz w:val="22"/>
                      <w:szCs w:val="22"/>
                    </w:rPr>
                    <w:t>Blockchain and Cryptocurrency</w:t>
                  </w:r>
                </w:p>
                <w:p w:rsidRPr="005430CB" w:rsidR="005430CB" w:rsidP="00B44160" w:rsidRDefault="005430CB" w14:paraId="51CAA1FE" w14:textId="77777777">
                  <w:pPr>
                    <w:pStyle w:val="BasicParagraph"/>
                    <w:framePr w:hSpace="180" w:wrap="around" w:hAnchor="margin" w:vAnchor="text" w:xAlign="right" w:y="3856"/>
                    <w:numPr>
                      <w:ilvl w:val="0"/>
                      <w:numId w:val="1"/>
                    </w:numPr>
                    <w:suppressAutoHyphens/>
                    <w:spacing w:line="240" w:lineRule="auto"/>
                    <w:ind w:left="615" w:hanging="375"/>
                    <w:rPr>
                      <w:rFonts w:ascii="Century Gothic Light" w:hAnsi="Century Gothic Light" w:cs="Century Gothic Light"/>
                      <w:color w:val="09223F"/>
                      <w:sz w:val="22"/>
                      <w:szCs w:val="22"/>
                    </w:rPr>
                  </w:pPr>
                  <w:r w:rsidRPr="005430CB">
                    <w:rPr>
                      <w:rFonts w:ascii="Century Gothic Light" w:hAnsi="Century Gothic Light" w:cs="Century Gothic Light"/>
                      <w:color w:val="09223F"/>
                      <w:sz w:val="22"/>
                      <w:szCs w:val="22"/>
                    </w:rPr>
                    <w:t>Commercial Contingency Litigation</w:t>
                  </w:r>
                </w:p>
                <w:p w:rsidRPr="005430CB" w:rsidR="005430CB" w:rsidP="00B44160" w:rsidRDefault="005430CB" w14:paraId="65B56C5B" w14:textId="77777777">
                  <w:pPr>
                    <w:pStyle w:val="BasicParagraph"/>
                    <w:framePr w:hSpace="180" w:wrap="around" w:hAnchor="margin" w:vAnchor="text" w:xAlign="right" w:y="3856"/>
                    <w:numPr>
                      <w:ilvl w:val="0"/>
                      <w:numId w:val="1"/>
                    </w:numPr>
                    <w:suppressAutoHyphens/>
                    <w:spacing w:line="240" w:lineRule="auto"/>
                    <w:ind w:left="615" w:hanging="375"/>
                    <w:rPr>
                      <w:rFonts w:ascii="Century Gothic Light" w:hAnsi="Century Gothic Light" w:cs="Century Gothic Light"/>
                      <w:color w:val="09223F"/>
                      <w:sz w:val="22"/>
                      <w:szCs w:val="22"/>
                    </w:rPr>
                  </w:pPr>
                  <w:r w:rsidRPr="005430CB">
                    <w:rPr>
                      <w:rFonts w:ascii="Century Gothic Light" w:hAnsi="Century Gothic Light" w:cs="Century Gothic Light"/>
                      <w:color w:val="09223F"/>
                      <w:sz w:val="22"/>
                      <w:szCs w:val="22"/>
                    </w:rPr>
                    <w:t>Construction Law</w:t>
                  </w:r>
                </w:p>
                <w:p w:rsidRPr="00340AE6" w:rsidR="009F7119" w:rsidP="00B44160" w:rsidRDefault="005430CB" w14:paraId="4CFCE99A" w14:textId="7C0ACC27">
                  <w:pPr>
                    <w:pStyle w:val="BasicParagraph"/>
                    <w:framePr w:hSpace="180" w:wrap="around" w:hAnchor="margin" w:vAnchor="text" w:xAlign="right" w:y="3856"/>
                    <w:numPr>
                      <w:ilvl w:val="0"/>
                      <w:numId w:val="1"/>
                    </w:numPr>
                    <w:suppressAutoHyphens/>
                    <w:spacing w:line="240" w:lineRule="auto"/>
                    <w:ind w:left="615" w:hanging="375"/>
                    <w:rPr>
                      <w:rFonts w:ascii="Century Gothic Light" w:hAnsi="Century Gothic Light" w:cs="Century Gothic Light"/>
                      <w:color w:val="09223F"/>
                      <w:sz w:val="22"/>
                      <w:szCs w:val="22"/>
                    </w:rPr>
                  </w:pPr>
                  <w:r w:rsidRPr="005430CB">
                    <w:rPr>
                      <w:rFonts w:ascii="Century Gothic Light" w:hAnsi="Century Gothic Light" w:cs="Century Gothic Light"/>
                      <w:color w:val="09223F"/>
                      <w:sz w:val="22"/>
                      <w:szCs w:val="22"/>
                    </w:rPr>
                    <w:t>E-Discovery and Data Management</w:t>
                  </w:r>
                </w:p>
              </w:tc>
              <w:tc>
                <w:tcPr>
                  <w:tcW w:w="5037" w:type="dxa"/>
                </w:tcPr>
                <w:p w:rsidRPr="005430CB" w:rsidR="005430CB" w:rsidP="00B44160" w:rsidRDefault="005430CB" w14:paraId="56C77A85" w14:textId="77777777">
                  <w:pPr>
                    <w:pStyle w:val="BasicParagraph"/>
                    <w:framePr w:hSpace="180" w:wrap="around" w:hAnchor="margin" w:vAnchor="text" w:xAlign="right" w:y="3856"/>
                    <w:numPr>
                      <w:ilvl w:val="0"/>
                      <w:numId w:val="1"/>
                    </w:numPr>
                    <w:suppressAutoHyphens/>
                    <w:spacing w:line="240" w:lineRule="auto"/>
                    <w:ind w:left="615" w:hanging="375"/>
                    <w:rPr>
                      <w:rFonts w:ascii="Century Gothic Light" w:hAnsi="Century Gothic Light" w:cs="Century Gothic Light"/>
                      <w:color w:val="09223F"/>
                      <w:sz w:val="22"/>
                      <w:szCs w:val="22"/>
                    </w:rPr>
                  </w:pPr>
                  <w:r w:rsidRPr="005430CB">
                    <w:rPr>
                      <w:rFonts w:ascii="Century Gothic Light" w:hAnsi="Century Gothic Light" w:cs="Century Gothic Light"/>
                      <w:color w:val="09223F"/>
                      <w:sz w:val="22"/>
                      <w:szCs w:val="22"/>
                    </w:rPr>
                    <w:t>Indian Law</w:t>
                  </w:r>
                </w:p>
                <w:p w:rsidRPr="005430CB" w:rsidR="005430CB" w:rsidP="00B44160" w:rsidRDefault="005430CB" w14:paraId="3DB43248" w14:textId="77777777">
                  <w:pPr>
                    <w:pStyle w:val="BasicParagraph"/>
                    <w:framePr w:hSpace="180" w:wrap="around" w:hAnchor="margin" w:vAnchor="text" w:xAlign="right" w:y="3856"/>
                    <w:numPr>
                      <w:ilvl w:val="0"/>
                      <w:numId w:val="1"/>
                    </w:numPr>
                    <w:suppressAutoHyphens/>
                    <w:spacing w:line="240" w:lineRule="auto"/>
                    <w:ind w:left="615" w:hanging="375"/>
                    <w:rPr>
                      <w:rFonts w:ascii="Century Gothic Light" w:hAnsi="Century Gothic Light" w:cs="Century Gothic Light"/>
                      <w:color w:val="09223F"/>
                      <w:sz w:val="22"/>
                      <w:szCs w:val="22"/>
                    </w:rPr>
                  </w:pPr>
                  <w:r w:rsidRPr="005430CB">
                    <w:rPr>
                      <w:rFonts w:ascii="Century Gothic Light" w:hAnsi="Century Gothic Light" w:cs="Century Gothic Light"/>
                      <w:color w:val="09223F"/>
                      <w:sz w:val="22"/>
                      <w:szCs w:val="22"/>
                    </w:rPr>
                    <w:t>Intellectual Property and IP Litigation</w:t>
                  </w:r>
                </w:p>
                <w:p w:rsidRPr="005430CB" w:rsidR="005430CB" w:rsidP="00B44160" w:rsidRDefault="005430CB" w14:paraId="44F9D88F" w14:textId="77777777">
                  <w:pPr>
                    <w:pStyle w:val="BasicParagraph"/>
                    <w:framePr w:hSpace="180" w:wrap="around" w:hAnchor="margin" w:vAnchor="text" w:xAlign="right" w:y="3856"/>
                    <w:numPr>
                      <w:ilvl w:val="0"/>
                      <w:numId w:val="1"/>
                    </w:numPr>
                    <w:suppressAutoHyphens/>
                    <w:spacing w:line="240" w:lineRule="auto"/>
                    <w:ind w:left="615" w:hanging="375"/>
                    <w:rPr>
                      <w:rFonts w:ascii="Century Gothic Light" w:hAnsi="Century Gothic Light" w:cs="Century Gothic Light"/>
                      <w:color w:val="09223F"/>
                      <w:sz w:val="22"/>
                      <w:szCs w:val="22"/>
                    </w:rPr>
                  </w:pPr>
                  <w:r w:rsidRPr="005430CB">
                    <w:rPr>
                      <w:rFonts w:ascii="Century Gothic Light" w:hAnsi="Century Gothic Light" w:cs="Century Gothic Light"/>
                      <w:color w:val="09223F"/>
                      <w:sz w:val="22"/>
                      <w:szCs w:val="22"/>
                    </w:rPr>
                    <w:t>Litigation</w:t>
                  </w:r>
                </w:p>
                <w:p w:rsidRPr="005430CB" w:rsidR="005430CB" w:rsidP="00B44160" w:rsidRDefault="005430CB" w14:paraId="3FF5CF13" w14:textId="77777777">
                  <w:pPr>
                    <w:pStyle w:val="BasicParagraph"/>
                    <w:framePr w:hSpace="180" w:wrap="around" w:hAnchor="margin" w:vAnchor="text" w:xAlign="right" w:y="3856"/>
                    <w:numPr>
                      <w:ilvl w:val="0"/>
                      <w:numId w:val="1"/>
                    </w:numPr>
                    <w:suppressAutoHyphens/>
                    <w:spacing w:line="240" w:lineRule="auto"/>
                    <w:ind w:left="615" w:hanging="375"/>
                    <w:rPr>
                      <w:rFonts w:ascii="Century Gothic Light" w:hAnsi="Century Gothic Light" w:cs="Century Gothic Light"/>
                      <w:color w:val="09223F"/>
                      <w:sz w:val="22"/>
                      <w:szCs w:val="22"/>
                    </w:rPr>
                  </w:pPr>
                  <w:r w:rsidRPr="005430CB">
                    <w:rPr>
                      <w:rFonts w:ascii="Century Gothic Light" w:hAnsi="Century Gothic Light" w:cs="Century Gothic Light"/>
                      <w:color w:val="09223F"/>
                      <w:sz w:val="22"/>
                      <w:szCs w:val="22"/>
                    </w:rPr>
                    <w:t>Patent Litigation</w:t>
                  </w:r>
                </w:p>
                <w:p w:rsidRPr="005430CB" w:rsidR="005430CB" w:rsidP="00B44160" w:rsidRDefault="005430CB" w14:paraId="5415DFAC" w14:textId="77777777">
                  <w:pPr>
                    <w:pStyle w:val="BasicParagraph"/>
                    <w:framePr w:hSpace="180" w:wrap="around" w:hAnchor="margin" w:vAnchor="text" w:xAlign="right" w:y="3856"/>
                    <w:numPr>
                      <w:ilvl w:val="0"/>
                      <w:numId w:val="1"/>
                    </w:numPr>
                    <w:suppressAutoHyphens/>
                    <w:spacing w:line="240" w:lineRule="auto"/>
                    <w:ind w:left="615" w:hanging="375"/>
                    <w:rPr>
                      <w:rFonts w:ascii="Century Gothic Light" w:hAnsi="Century Gothic Light" w:cs="Century Gothic Light"/>
                      <w:color w:val="09223F"/>
                      <w:sz w:val="22"/>
                      <w:szCs w:val="22"/>
                    </w:rPr>
                  </w:pPr>
                  <w:r w:rsidRPr="005430CB">
                    <w:rPr>
                      <w:rFonts w:ascii="Century Gothic Light" w:hAnsi="Century Gothic Light" w:cs="Century Gothic Light"/>
                      <w:color w:val="09223F"/>
                      <w:sz w:val="22"/>
                      <w:szCs w:val="22"/>
                    </w:rPr>
                    <w:t>Product Liability</w:t>
                  </w:r>
                </w:p>
                <w:p w:rsidRPr="005430CB" w:rsidR="005430CB" w:rsidP="00B44160" w:rsidRDefault="005430CB" w14:paraId="6632A62B" w14:textId="77777777">
                  <w:pPr>
                    <w:pStyle w:val="BasicParagraph"/>
                    <w:framePr w:hSpace="180" w:wrap="around" w:hAnchor="margin" w:vAnchor="text" w:xAlign="right" w:y="3856"/>
                    <w:numPr>
                      <w:ilvl w:val="0"/>
                      <w:numId w:val="1"/>
                    </w:numPr>
                    <w:suppressAutoHyphens/>
                    <w:spacing w:line="240" w:lineRule="auto"/>
                    <w:ind w:left="615" w:hanging="375"/>
                    <w:rPr>
                      <w:rFonts w:ascii="Century Gothic Light" w:hAnsi="Century Gothic Light" w:cs="Century Gothic Light"/>
                      <w:color w:val="09223F"/>
                      <w:sz w:val="22"/>
                      <w:szCs w:val="22"/>
                    </w:rPr>
                  </w:pPr>
                  <w:r w:rsidRPr="005430CB">
                    <w:rPr>
                      <w:rFonts w:ascii="Century Gothic Light" w:hAnsi="Century Gothic Light" w:cs="Century Gothic Light"/>
                      <w:color w:val="09223F"/>
                      <w:sz w:val="22"/>
                      <w:szCs w:val="22"/>
                    </w:rPr>
                    <w:t>Real Estate</w:t>
                  </w:r>
                </w:p>
                <w:p w:rsidRPr="00340AE6" w:rsidR="000F6FAD" w:rsidP="00B44160" w:rsidRDefault="005430CB" w14:paraId="22A85BCB" w14:textId="4E8BC7E3">
                  <w:pPr>
                    <w:pStyle w:val="BasicParagraph"/>
                    <w:framePr w:hSpace="180" w:wrap="around" w:hAnchor="margin" w:vAnchor="text" w:xAlign="right" w:y="3856"/>
                    <w:numPr>
                      <w:ilvl w:val="0"/>
                      <w:numId w:val="1"/>
                    </w:numPr>
                    <w:suppressAutoHyphens/>
                    <w:spacing w:line="240" w:lineRule="auto"/>
                    <w:ind w:left="615" w:hanging="375"/>
                    <w:rPr>
                      <w:rFonts w:ascii="Century Gothic Light" w:hAnsi="Century Gothic Light" w:cs="Century Gothic Light"/>
                      <w:color w:val="09223F"/>
                      <w:sz w:val="22"/>
                      <w:szCs w:val="22"/>
                    </w:rPr>
                  </w:pPr>
                  <w:r w:rsidRPr="005430CB">
                    <w:rPr>
                      <w:rFonts w:ascii="Century Gothic Light" w:hAnsi="Century Gothic Light" w:cs="Century Gothic Light"/>
                      <w:color w:val="09223F"/>
                      <w:sz w:val="22"/>
                      <w:szCs w:val="22"/>
                    </w:rPr>
                    <w:t xml:space="preserve">Real Estate Litigation </w:t>
                  </w:r>
                </w:p>
              </w:tc>
            </w:tr>
          </w:tbl>
          <w:p w:rsidR="00996259" w:rsidP="008700A0" w:rsidRDefault="00996259" w14:paraId="4910D759" w14:textId="77777777">
            <w:pPr>
              <w:pStyle w:val="BasicParagraph"/>
              <w:rPr>
                <w:rFonts w:ascii="Century Gothic Light" w:hAnsi="Century Gothic Light" w:cs="Century Gothic Light"/>
                <w:caps/>
                <w:color w:val="F5821F"/>
                <w:sz w:val="32"/>
                <w:szCs w:val="32"/>
              </w:rPr>
            </w:pPr>
          </w:p>
        </w:tc>
      </w:tr>
      <w:tr w:rsidR="004533D0" w:rsidTr="7F82BFA7" w14:paraId="731970D6" w14:textId="77777777">
        <w:trPr>
          <w:trHeight w:val="288"/>
        </w:trPr>
        <w:tc>
          <w:tcPr>
            <w:tcW w:w="10299" w:type="dxa"/>
            <w:tcMar/>
          </w:tcPr>
          <w:p w:rsidRPr="008F5DD7" w:rsidR="004533D0" w:rsidP="00996259" w:rsidRDefault="004533D0" w14:paraId="1485FBCC" w14:textId="77777777">
            <w:pPr>
              <w:pStyle w:val="BasicParagraph"/>
              <w:rPr>
                <w:rFonts w:ascii="Century Gothic Light" w:hAnsi="Century Gothic Light" w:cs="Century Gothic Light"/>
                <w:caps/>
                <w:color w:val="F5821F"/>
                <w:szCs w:val="28"/>
              </w:rPr>
            </w:pPr>
          </w:p>
        </w:tc>
      </w:tr>
      <w:tr w:rsidR="005430CB" w:rsidTr="7F82BFA7" w14:paraId="7551DB5D" w14:textId="77777777">
        <w:trPr>
          <w:trHeight w:val="288"/>
        </w:trPr>
        <w:tc>
          <w:tcPr>
            <w:tcW w:w="10299" w:type="dxa"/>
            <w:tcMar/>
          </w:tcPr>
          <w:p w:rsidRPr="00996259" w:rsidR="005430CB" w:rsidP="005430CB" w:rsidRDefault="005430CB" w14:paraId="2A26305B" w14:textId="08663B6F">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AWARDS AND HONORS</w:t>
            </w:r>
          </w:p>
          <w:p w:rsidRPr="00DC7405" w:rsidR="0051632F" w:rsidP="0051632F" w:rsidRDefault="0051632F" w14:paraId="0BC63DC0" w14:textId="77777777">
            <w:pPr>
              <w:pStyle w:val="BasicParagraph"/>
              <w:numPr>
                <w:ilvl w:val="0"/>
                <w:numId w:val="1"/>
              </w:numPr>
              <w:suppressAutoHyphens/>
              <w:spacing w:line="240" w:lineRule="auto"/>
              <w:rPr>
                <w:rFonts w:ascii="Century Gothic Light" w:hAnsi="Century Gothic Light" w:cs="Century Gothic Light"/>
                <w:i/>
                <w:iCs/>
                <w:color w:val="09223F"/>
                <w:sz w:val="22"/>
                <w:szCs w:val="22"/>
              </w:rPr>
            </w:pPr>
            <w:r w:rsidRPr="00A81B18">
              <w:rPr>
                <w:rFonts w:ascii="Century Gothic Light" w:hAnsi="Century Gothic Light" w:cs="Century Gothic Light"/>
                <w:color w:val="09223F"/>
                <w:sz w:val="22"/>
                <w:szCs w:val="22"/>
              </w:rPr>
              <w:t xml:space="preserve">Top 100 Lawyers, </w:t>
            </w:r>
            <w:r w:rsidRPr="00A81B18">
              <w:rPr>
                <w:rFonts w:ascii="Century Gothic Light" w:hAnsi="Century Gothic Light" w:cs="Century Gothic Light"/>
                <w:i/>
                <w:iCs/>
                <w:color w:val="09223F"/>
                <w:sz w:val="22"/>
                <w:szCs w:val="22"/>
              </w:rPr>
              <w:t xml:space="preserve">AZ Business Magazine, </w:t>
            </w:r>
            <w:r w:rsidRPr="00F500CC">
              <w:rPr>
                <w:rFonts w:ascii="Century Gothic Light" w:hAnsi="Century Gothic Light" w:cs="Century Gothic Light"/>
                <w:color w:val="09223F"/>
                <w:sz w:val="22"/>
                <w:szCs w:val="22"/>
              </w:rPr>
              <w:t>2021</w:t>
            </w:r>
          </w:p>
          <w:p w:rsidRPr="00A81B18" w:rsidR="00DC7405" w:rsidP="00DC7405" w:rsidRDefault="00F500CC" w14:paraId="23867D99" w14:textId="46F7B0C5">
            <w:pPr>
              <w:pStyle w:val="BasicParagraph"/>
              <w:numPr>
                <w:ilvl w:val="0"/>
                <w:numId w:val="1"/>
              </w:numPr>
              <w:suppressAutoHyphens/>
              <w:spacing w:line="240" w:lineRule="auto"/>
              <w:rPr>
                <w:rFonts w:ascii="Century Gothic Light" w:hAnsi="Century Gothic Light" w:cs="Century Gothic Light"/>
                <w:i/>
                <w:iCs/>
                <w:color w:val="09223F"/>
                <w:sz w:val="22"/>
                <w:szCs w:val="22"/>
              </w:rPr>
            </w:pPr>
            <w:r w:rsidRPr="005430CB">
              <w:rPr>
                <w:rFonts w:ascii="Century Gothic Light" w:hAnsi="Century Gothic Light" w:cs="Century Gothic Light"/>
                <w:i/>
                <w:iCs/>
                <w:color w:val="09223F"/>
                <w:sz w:val="22"/>
                <w:szCs w:val="22"/>
              </w:rPr>
              <w:t>Southwest Super Lawyers</w:t>
            </w:r>
            <w:r w:rsidRPr="005430CB">
              <w:rPr>
                <w:rFonts w:ascii="Century Gothic Light" w:hAnsi="Century Gothic Light" w:cs="Century Gothic Light"/>
                <w:i/>
                <w:iCs/>
                <w:color w:val="09223F"/>
                <w:sz w:val="22"/>
                <w:szCs w:val="22"/>
                <w:vertAlign w:val="superscript"/>
              </w:rPr>
              <w:t>®</w:t>
            </w:r>
            <w:r w:rsidRPr="005430CB">
              <w:rPr>
                <w:rFonts w:ascii="Century Gothic Light" w:hAnsi="Century Gothic Light" w:cs="Century Gothic Light"/>
                <w:i/>
                <w:iCs/>
                <w:color w:val="09223F"/>
                <w:sz w:val="22"/>
                <w:szCs w:val="22"/>
              </w:rPr>
              <w:t>,</w:t>
            </w:r>
            <w:r w:rsidRPr="005430CB">
              <w:rPr>
                <w:rFonts w:ascii="Century Gothic Light" w:hAnsi="Century Gothic Light" w:cs="Century Gothic Light"/>
                <w:color w:val="09223F"/>
                <w:sz w:val="22"/>
                <w:szCs w:val="22"/>
              </w:rPr>
              <w:t xml:space="preserve"> Business Litigation, 2017-202</w:t>
            </w:r>
            <w:r>
              <w:rPr>
                <w:rFonts w:ascii="Century Gothic Light" w:hAnsi="Century Gothic Light" w:cs="Century Gothic Light"/>
                <w:color w:val="09223F"/>
                <w:sz w:val="22"/>
                <w:szCs w:val="22"/>
              </w:rPr>
              <w:t>1</w:t>
            </w:r>
            <w:r w:rsidRPr="00DC7405" w:rsidR="00DC7405">
              <w:rPr>
                <w:rFonts w:ascii="Century Gothic Light" w:hAnsi="Century Gothic Light" w:cs="Century Gothic Light"/>
                <w:i/>
                <w:iCs/>
                <w:color w:val="09223F"/>
                <w:sz w:val="22"/>
                <w:szCs w:val="22"/>
              </w:rPr>
              <w:t>Best Lawyers in America</w:t>
            </w:r>
            <w:r w:rsidRPr="00DC7405" w:rsidR="00DC7405">
              <w:rPr>
                <w:rFonts w:ascii="Century Gothic Light" w:hAnsi="Century Gothic Light" w:cs="Century Gothic Light"/>
                <w:i/>
                <w:iCs/>
                <w:color w:val="09223F"/>
                <w:sz w:val="22"/>
                <w:szCs w:val="22"/>
                <w:vertAlign w:val="superscript"/>
              </w:rPr>
              <w:t>®</w:t>
            </w:r>
            <w:r w:rsidRPr="00DC7405" w:rsidR="00DC7405">
              <w:rPr>
                <w:rFonts w:ascii="Century Gothic Light" w:hAnsi="Century Gothic Light" w:cs="Century Gothic Light"/>
                <w:i/>
                <w:iCs/>
                <w:color w:val="09223F"/>
                <w:sz w:val="22"/>
                <w:szCs w:val="22"/>
              </w:rPr>
              <w:t>, </w:t>
            </w:r>
            <w:r w:rsidRPr="00DC7405" w:rsidR="00DC7405">
              <w:rPr>
                <w:rFonts w:ascii="Century Gothic Light" w:hAnsi="Century Gothic Light" w:cs="Century Gothic Light"/>
                <w:color w:val="09223F"/>
                <w:sz w:val="22"/>
                <w:szCs w:val="22"/>
              </w:rPr>
              <w:t>Construction Law, Litigation - Intellectual Property, Litigation - Real Estate, Litigation - Regulatory Enforcement (SEC, Telecom, Energy), 2020-2021</w:t>
            </w:r>
          </w:p>
          <w:p w:rsidRPr="005430CB" w:rsidR="005430CB" w:rsidP="005430CB" w:rsidRDefault="005430CB" w14:paraId="5919EEBD" w14:textId="7D163DD1">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430CB">
              <w:rPr>
                <w:rFonts w:ascii="Century Gothic Light" w:hAnsi="Century Gothic Light" w:cs="Century Gothic Light"/>
                <w:i/>
                <w:iCs/>
                <w:color w:val="09223F"/>
                <w:sz w:val="22"/>
                <w:szCs w:val="22"/>
              </w:rPr>
              <w:t>Southwest Super Lawyers</w:t>
            </w:r>
            <w:r w:rsidRPr="005430CB">
              <w:rPr>
                <w:rFonts w:ascii="Century Gothic Light" w:hAnsi="Century Gothic Light" w:cs="Century Gothic Light"/>
                <w:i/>
                <w:iCs/>
                <w:color w:val="09223F"/>
                <w:sz w:val="22"/>
                <w:szCs w:val="22"/>
                <w:vertAlign w:val="superscript"/>
              </w:rPr>
              <w:t>®</w:t>
            </w:r>
            <w:r w:rsidRPr="005430CB">
              <w:rPr>
                <w:rFonts w:ascii="Century Gothic Light" w:hAnsi="Century Gothic Light" w:cs="Century Gothic Light"/>
                <w:i/>
                <w:iCs/>
                <w:color w:val="09223F"/>
                <w:sz w:val="22"/>
                <w:szCs w:val="22"/>
              </w:rPr>
              <w:t>,</w:t>
            </w:r>
            <w:r w:rsidRPr="005430CB">
              <w:rPr>
                <w:rFonts w:ascii="Century Gothic Light" w:hAnsi="Century Gothic Light" w:cs="Century Gothic Light"/>
                <w:color w:val="09223F"/>
                <w:sz w:val="22"/>
                <w:szCs w:val="22"/>
              </w:rPr>
              <w:t xml:space="preserve"> Top 50 Arizona Super Lawyers, 2020</w:t>
            </w:r>
          </w:p>
          <w:p w:rsidRPr="005430CB" w:rsidR="005430CB" w:rsidP="005430CB" w:rsidRDefault="005430CB" w14:paraId="52E8B06F" w14:textId="70675368">
            <w:pPr>
              <w:pStyle w:val="BasicParagraph"/>
              <w:numPr>
                <w:ilvl w:val="0"/>
                <w:numId w:val="1"/>
              </w:numPr>
              <w:suppressAutoHyphens/>
              <w:spacing w:line="240" w:lineRule="auto"/>
              <w:rPr>
                <w:rFonts w:ascii="Century Gothic Light" w:hAnsi="Century Gothic Light" w:cs="Century Gothic Light"/>
                <w:color w:val="09223F"/>
                <w:sz w:val="22"/>
                <w:szCs w:val="22"/>
              </w:rPr>
            </w:pPr>
          </w:p>
          <w:p w:rsidR="005430CB" w:rsidP="005430CB" w:rsidRDefault="005430CB" w14:paraId="0CD79D8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430CB">
              <w:rPr>
                <w:rFonts w:ascii="Century Gothic Light" w:hAnsi="Century Gothic Light" w:cs="Century Gothic Light"/>
                <w:i/>
                <w:iCs/>
                <w:color w:val="09223F"/>
                <w:sz w:val="22"/>
                <w:szCs w:val="22"/>
              </w:rPr>
              <w:t>Benchmark Litigation,</w:t>
            </w:r>
            <w:r w:rsidRPr="005430CB">
              <w:rPr>
                <w:rFonts w:ascii="Century Gothic Light" w:hAnsi="Century Gothic Light" w:cs="Century Gothic Light"/>
                <w:color w:val="09223F"/>
                <w:sz w:val="22"/>
                <w:szCs w:val="22"/>
              </w:rPr>
              <w:t xml:space="preserve"> Local Litigation Star, 2016</w:t>
            </w:r>
          </w:p>
          <w:p w:rsidRPr="005430CB" w:rsidR="005430CB" w:rsidP="005430CB" w:rsidRDefault="005430CB" w14:paraId="0EABF139" w14:textId="1EDFDABF">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430CB">
              <w:rPr>
                <w:rFonts w:ascii="Century Gothic Light" w:hAnsi="Century Gothic Light" w:cs="Century Gothic Light"/>
                <w:i/>
                <w:iCs/>
                <w:color w:val="09223F"/>
                <w:sz w:val="22"/>
                <w:szCs w:val="22"/>
              </w:rPr>
              <w:t>Southwest Rising Stars</w:t>
            </w:r>
            <w:r w:rsidRPr="005430CB">
              <w:rPr>
                <w:rFonts w:ascii="Century Gothic Light" w:hAnsi="Century Gothic Light" w:cs="Century Gothic Light"/>
                <w:i/>
                <w:iCs/>
                <w:color w:val="09223F"/>
                <w:sz w:val="22"/>
                <w:szCs w:val="22"/>
                <w:vertAlign w:val="superscript"/>
              </w:rPr>
              <w:t>®</w:t>
            </w:r>
            <w:r w:rsidRPr="005430CB">
              <w:rPr>
                <w:rFonts w:ascii="Century Gothic Light" w:hAnsi="Century Gothic Light" w:cs="Century Gothic Light"/>
                <w:i/>
                <w:iCs/>
                <w:color w:val="09223F"/>
                <w:sz w:val="22"/>
                <w:szCs w:val="22"/>
              </w:rPr>
              <w:t>,</w:t>
            </w:r>
            <w:r w:rsidRPr="005430CB">
              <w:rPr>
                <w:rFonts w:ascii="Century Gothic Light" w:hAnsi="Century Gothic Light" w:cs="Century Gothic Light"/>
                <w:color w:val="09223F"/>
                <w:sz w:val="22"/>
                <w:szCs w:val="22"/>
              </w:rPr>
              <w:t xml:space="preserve"> Business Litigation, 2012</w:t>
            </w:r>
          </w:p>
        </w:tc>
      </w:tr>
      <w:tr w:rsidR="005430CB" w:rsidTr="7F82BFA7" w14:paraId="7BA9570E" w14:textId="77777777">
        <w:trPr>
          <w:trHeight w:val="288"/>
        </w:trPr>
        <w:tc>
          <w:tcPr>
            <w:tcW w:w="10299" w:type="dxa"/>
            <w:tcMar/>
          </w:tcPr>
          <w:p w:rsidRPr="008F5DD7" w:rsidR="005430CB" w:rsidP="00996259" w:rsidRDefault="005430CB" w14:paraId="6489204F" w14:textId="77777777">
            <w:pPr>
              <w:pStyle w:val="BasicParagraph"/>
              <w:rPr>
                <w:rFonts w:ascii="Century Gothic Light" w:hAnsi="Century Gothic Light" w:cs="Century Gothic Light"/>
                <w:caps/>
                <w:color w:val="F5821F"/>
                <w:szCs w:val="28"/>
              </w:rPr>
            </w:pPr>
          </w:p>
        </w:tc>
      </w:tr>
      <w:tr w:rsidR="0002353F" w:rsidTr="7F82BFA7" w14:paraId="4BBBFC4C" w14:textId="77777777">
        <w:trPr>
          <w:trHeight w:val="288"/>
        </w:trPr>
        <w:tc>
          <w:tcPr>
            <w:tcW w:w="10299" w:type="dxa"/>
            <w:tcMar/>
          </w:tcPr>
          <w:p w:rsidRPr="00996259" w:rsidR="0002353F" w:rsidP="0002353F" w:rsidRDefault="009F7119" w14:paraId="3D2A96DB" w14:textId="770C7713">
            <w:pPr>
              <w:pStyle w:val="BasicParagraph"/>
              <w:rPr>
                <w:rFonts w:ascii="Century Gothic Light" w:hAnsi="Century Gothic Light" w:cs="Century Gothic Light"/>
                <w:caps/>
                <w:color w:val="F5821F"/>
                <w:sz w:val="28"/>
                <w:szCs w:val="32"/>
              </w:rPr>
            </w:pPr>
            <w:r w:rsidRPr="7F82BFA7" w:rsidR="7F82BFA7">
              <w:rPr>
                <w:rFonts w:ascii="Century Gothic Light" w:hAnsi="Century Gothic Light" w:cs="Century Gothic Light"/>
                <w:caps w:val="1"/>
                <w:color w:val="F5821F"/>
                <w:sz w:val="28"/>
                <w:szCs w:val="28"/>
              </w:rPr>
              <w:t>articles and presentations</w:t>
            </w:r>
          </w:p>
          <w:p w:rsidR="7F82BFA7" w:rsidP="7F82BFA7" w:rsidRDefault="7F82BFA7" w14:paraId="09138817" w14:textId="2518A425">
            <w:pPr>
              <w:pStyle w:val="BasicParagraph"/>
              <w:numPr>
                <w:ilvl w:val="0"/>
                <w:numId w:val="1"/>
              </w:numPr>
              <w:spacing w:line="240" w:lineRule="auto"/>
              <w:rPr>
                <w:rFonts w:ascii="Century Gothic Light" w:hAnsi="Century Gothic Light" w:eastAsia="Century Gothic Light" w:cs="Century Gothic Light"/>
                <w:color w:val="0C2340" w:themeColor="accent4" w:themeTint="FF" w:themeShade="FF"/>
                <w:sz w:val="22"/>
                <w:szCs w:val="22"/>
              </w:rPr>
            </w:pPr>
            <w:r w:rsidRPr="7F82BFA7" w:rsidR="7F82BFA7">
              <w:rPr>
                <w:rFonts w:ascii="Century Gothic Light" w:hAnsi="Century Gothic Light" w:cs="Century Gothic Light"/>
                <w:color w:val="0C2340" w:themeColor="accent4" w:themeTint="FF" w:themeShade="FF"/>
                <w:sz w:val="22"/>
                <w:szCs w:val="22"/>
              </w:rPr>
              <w:t>Author, "How to help ensure your AI applications are legal," Phoenix Business Journal, April 18, 2022</w:t>
            </w:r>
          </w:p>
          <w:p w:rsidR="7F82BFA7" w:rsidP="7F82BFA7" w:rsidRDefault="7F82BFA7" w14:paraId="59537B2C" w14:textId="7844F783">
            <w:pPr>
              <w:pStyle w:val="ListParagraph"/>
              <w:numPr>
                <w:ilvl w:val="0"/>
                <w:numId w:val="1"/>
              </w:numPr>
              <w:rPr>
                <w:rFonts w:ascii="Century Gothic Light" w:hAnsi="Century Gothic Light" w:eastAsia="Century Gothic Light" w:cs="Century Gothic Light"/>
                <w:color w:val="0C2340" w:themeColor="accent4" w:themeTint="FF" w:themeShade="FF"/>
                <w:sz w:val="22"/>
                <w:szCs w:val="22"/>
              </w:rPr>
            </w:pPr>
            <w:r w:rsidRPr="7F82BFA7" w:rsidR="7F82BFA7">
              <w:rPr>
                <w:color w:val="0C2340" w:themeColor="accent4" w:themeTint="FF" w:themeShade="FF"/>
              </w:rPr>
              <w:t xml:space="preserve">Author, "Developing Artificial Intelligence: Are Your Lawyers Involved?" </w:t>
            </w:r>
            <w:proofErr w:type="spellStart"/>
            <w:r w:rsidRPr="7F82BFA7" w:rsidR="7F82BFA7">
              <w:rPr>
                <w:color w:val="0C2340" w:themeColor="accent4" w:themeTint="FF" w:themeShade="FF"/>
              </w:rPr>
              <w:t>inBusiness</w:t>
            </w:r>
            <w:proofErr w:type="spellEnd"/>
            <w:r w:rsidRPr="7F82BFA7" w:rsidR="7F82BFA7">
              <w:rPr>
                <w:color w:val="0C2340" w:themeColor="accent4" w:themeTint="FF" w:themeShade="FF"/>
              </w:rPr>
              <w:t>, March 2022</w:t>
            </w:r>
          </w:p>
          <w:p w:rsidR="7F82BFA7" w:rsidP="7F82BFA7" w:rsidRDefault="7F82BFA7" w14:paraId="57973975" w14:textId="7AFD6E8D">
            <w:pPr>
              <w:pStyle w:val="ListParagraph"/>
              <w:numPr>
                <w:ilvl w:val="0"/>
                <w:numId w:val="1"/>
              </w:numPr>
              <w:rPr>
                <w:rFonts w:ascii="Century Gothic Light" w:hAnsi="Century Gothic Light" w:eastAsia="Century Gothic Light" w:cs="Century Gothic Light"/>
                <w:color w:val="0C2340" w:themeColor="accent4" w:themeTint="FF" w:themeShade="FF"/>
                <w:sz w:val="22"/>
                <w:szCs w:val="22"/>
              </w:rPr>
            </w:pPr>
            <w:r w:rsidRPr="7F82BFA7" w:rsidR="7F82BFA7">
              <w:rPr>
                <w:color w:val="0C2340" w:themeColor="accent4" w:themeTint="FF" w:themeShade="FF"/>
              </w:rPr>
              <w:t>Interview, "Leadership Profile With Attorney Todd Kartchner," Fennemore Blog, August 12, 2021</w:t>
            </w:r>
          </w:p>
          <w:p w:rsidR="7F82BFA7" w:rsidP="7F82BFA7" w:rsidRDefault="7F82BFA7" w14:paraId="04E3A0DB" w14:textId="1A268C09">
            <w:pPr>
              <w:pStyle w:val="ListParagraph"/>
              <w:numPr>
                <w:ilvl w:val="0"/>
                <w:numId w:val="1"/>
              </w:numPr>
              <w:rPr>
                <w:rFonts w:ascii="Century Gothic Light" w:hAnsi="Century Gothic Light" w:eastAsia="Century Gothic Light" w:cs="Century Gothic Light"/>
                <w:color w:val="0C2340" w:themeColor="accent4" w:themeTint="FF" w:themeShade="FF"/>
                <w:sz w:val="22"/>
                <w:szCs w:val="22"/>
              </w:rPr>
            </w:pPr>
            <w:r w:rsidRPr="7F82BFA7" w:rsidR="7F82BFA7">
              <w:rPr>
                <w:color w:val="0C2340" w:themeColor="accent4" w:themeTint="FF" w:themeShade="FF"/>
              </w:rPr>
              <w:t>Quoted, "Here's how to save your COVID vaccine card while protecting your privacy," 12News, August 11, 2021</w:t>
            </w:r>
          </w:p>
          <w:p w:rsidRPr="00B44160" w:rsidR="00B44160" w:rsidP="00B44160" w:rsidRDefault="00B44160" w14:paraId="450AAE2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44160">
              <w:rPr>
                <w:rFonts w:ascii="Century Gothic Light" w:hAnsi="Century Gothic Light" w:cs="Century Gothic Light"/>
                <w:color w:val="09223F"/>
                <w:sz w:val="22"/>
                <w:szCs w:val="22"/>
              </w:rPr>
              <w:t>Quoted, "Devices can be convenient but could potentially be harmful to personal information," Arizona PBS, June 22, 2021</w:t>
            </w:r>
          </w:p>
          <w:p w:rsidRPr="00B44160" w:rsidR="00B44160" w:rsidP="00B44160" w:rsidRDefault="00B44160" w14:paraId="45C83F7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44160">
              <w:rPr>
                <w:rFonts w:ascii="Century Gothic Light" w:hAnsi="Century Gothic Light" w:cs="Century Gothic Light"/>
                <w:color w:val="09223F"/>
                <w:sz w:val="22"/>
                <w:szCs w:val="22"/>
              </w:rPr>
              <w:t>Quoted, "Amazon's brainchild 'Sidewalk' is active," KYMA, June 15, 2021</w:t>
            </w:r>
          </w:p>
          <w:p w:rsidRPr="00B96A47" w:rsidR="00B96A47" w:rsidP="00B96A47" w:rsidRDefault="00B96A47" w14:paraId="3C194B1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96A47">
              <w:rPr>
                <w:rFonts w:ascii="Century Gothic Light" w:hAnsi="Century Gothic Light" w:cs="Century Gothic Light"/>
                <w:color w:val="09223F"/>
                <w:sz w:val="22"/>
                <w:szCs w:val="22"/>
              </w:rPr>
              <w:t xml:space="preserve">Quoted, "Why Online Scams Are Booming," </w:t>
            </w:r>
            <w:proofErr w:type="spellStart"/>
            <w:r w:rsidRPr="00B96A47">
              <w:rPr>
                <w:rFonts w:ascii="Century Gothic Light" w:hAnsi="Century Gothic Light" w:cs="Century Gothic Light"/>
                <w:color w:val="09223F"/>
                <w:sz w:val="22"/>
                <w:szCs w:val="22"/>
              </w:rPr>
              <w:t>Lifewire</w:t>
            </w:r>
            <w:proofErr w:type="spellEnd"/>
            <w:r w:rsidRPr="00B96A47">
              <w:rPr>
                <w:rFonts w:ascii="Century Gothic Light" w:hAnsi="Century Gothic Light" w:cs="Century Gothic Light"/>
                <w:color w:val="09223F"/>
                <w:sz w:val="22"/>
                <w:szCs w:val="22"/>
              </w:rPr>
              <w:t>, May 3, 2021</w:t>
            </w:r>
          </w:p>
          <w:p w:rsidRPr="00761131" w:rsidR="00761131" w:rsidP="00761131" w:rsidRDefault="00761131" w14:paraId="68D043C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61131">
              <w:rPr>
                <w:rFonts w:ascii="Century Gothic Light" w:hAnsi="Century Gothic Light" w:cs="Century Gothic Light"/>
                <w:color w:val="09223F"/>
                <w:sz w:val="22"/>
                <w:szCs w:val="22"/>
              </w:rPr>
              <w:t xml:space="preserve">Interview, "Tech Topics in Healthcare and Legal," </w:t>
            </w:r>
            <w:proofErr w:type="spellStart"/>
            <w:r w:rsidRPr="00761131">
              <w:rPr>
                <w:rFonts w:ascii="Century Gothic Light" w:hAnsi="Century Gothic Light" w:cs="Century Gothic Light"/>
                <w:color w:val="09223F"/>
                <w:sz w:val="22"/>
                <w:szCs w:val="22"/>
              </w:rPr>
              <w:t>Podomatic</w:t>
            </w:r>
            <w:proofErr w:type="spellEnd"/>
            <w:r w:rsidRPr="00761131">
              <w:rPr>
                <w:rFonts w:ascii="Century Gothic Light" w:hAnsi="Century Gothic Light" w:cs="Century Gothic Light"/>
                <w:color w:val="09223F"/>
                <w:sz w:val="22"/>
                <w:szCs w:val="22"/>
              </w:rPr>
              <w:t>, December 6, 2020</w:t>
            </w:r>
          </w:p>
          <w:p w:rsidRPr="005430CB" w:rsidR="005430CB" w:rsidP="005430CB" w:rsidRDefault="005430CB" w14:paraId="5200728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430CB">
              <w:rPr>
                <w:rFonts w:ascii="Century Gothic Light" w:hAnsi="Century Gothic Light" w:cs="Century Gothic Light"/>
                <w:color w:val="09223F"/>
                <w:sz w:val="22"/>
                <w:szCs w:val="22"/>
              </w:rPr>
              <w:t xml:space="preserve">Quoted, "11 Worst States for Coronavirus Fraud," </w:t>
            </w:r>
            <w:r w:rsidRPr="003E62DF">
              <w:rPr>
                <w:rFonts w:ascii="Century Gothic Light" w:hAnsi="Century Gothic Light" w:cs="Century Gothic Light"/>
                <w:i/>
                <w:iCs/>
                <w:color w:val="09223F"/>
                <w:sz w:val="22"/>
                <w:szCs w:val="22"/>
              </w:rPr>
              <w:t>Expert Insurance Reviews,</w:t>
            </w:r>
            <w:r w:rsidRPr="005430CB">
              <w:rPr>
                <w:rFonts w:ascii="Century Gothic Light" w:hAnsi="Century Gothic Light" w:cs="Century Gothic Light"/>
                <w:color w:val="09223F"/>
                <w:sz w:val="22"/>
                <w:szCs w:val="22"/>
              </w:rPr>
              <w:t xml:space="preserve"> May 27, 2020</w:t>
            </w:r>
          </w:p>
          <w:p w:rsidRPr="005430CB" w:rsidR="005430CB" w:rsidP="005430CB" w:rsidRDefault="005430CB" w14:paraId="7636CC9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430CB">
              <w:rPr>
                <w:rFonts w:ascii="Century Gothic Light" w:hAnsi="Century Gothic Light" w:cs="Century Gothic Light"/>
                <w:color w:val="09223F"/>
                <w:sz w:val="22"/>
                <w:szCs w:val="22"/>
              </w:rPr>
              <w:t xml:space="preserve">Quoted, "Tribes Say Calif. Stuck in 'Catch-22' In Card Game Rights Suite," </w:t>
            </w:r>
            <w:r w:rsidRPr="003E62DF">
              <w:rPr>
                <w:rFonts w:ascii="Century Gothic Light" w:hAnsi="Century Gothic Light" w:cs="Century Gothic Light"/>
                <w:i/>
                <w:iCs/>
                <w:color w:val="09223F"/>
                <w:sz w:val="22"/>
                <w:szCs w:val="22"/>
              </w:rPr>
              <w:t>Law360,</w:t>
            </w:r>
            <w:r w:rsidRPr="005430CB">
              <w:rPr>
                <w:rFonts w:ascii="Century Gothic Light" w:hAnsi="Century Gothic Light" w:cs="Century Gothic Light"/>
                <w:color w:val="09223F"/>
                <w:sz w:val="22"/>
                <w:szCs w:val="22"/>
              </w:rPr>
              <w:t xml:space="preserve"> January 7, 2020</w:t>
            </w:r>
          </w:p>
          <w:p w:rsidRPr="005430CB" w:rsidR="005430CB" w:rsidP="005430CB" w:rsidRDefault="005430CB" w14:paraId="2F534FA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430CB">
              <w:rPr>
                <w:rFonts w:ascii="Century Gothic Light" w:hAnsi="Century Gothic Light" w:cs="Century Gothic Light"/>
                <w:color w:val="09223F"/>
                <w:sz w:val="22"/>
                <w:szCs w:val="22"/>
              </w:rPr>
              <w:t xml:space="preserve">Quoted, "What Trends Are Shaping Blockchain in the Legal Industry? 7 Experts Share Their Insights," </w:t>
            </w:r>
            <w:r w:rsidRPr="005430CB">
              <w:rPr>
                <w:rFonts w:ascii="Century Gothic Light" w:hAnsi="Century Gothic Light" w:cs="Century Gothic Light"/>
                <w:i/>
                <w:iCs/>
                <w:color w:val="09223F"/>
                <w:sz w:val="22"/>
                <w:szCs w:val="22"/>
              </w:rPr>
              <w:t>Disruptor Daily,</w:t>
            </w:r>
            <w:r w:rsidRPr="005430CB">
              <w:rPr>
                <w:rFonts w:ascii="Century Gothic Light" w:hAnsi="Century Gothic Light" w:cs="Century Gothic Light"/>
                <w:color w:val="09223F"/>
                <w:sz w:val="22"/>
                <w:szCs w:val="22"/>
              </w:rPr>
              <w:t xml:space="preserve"> June 20, 2019</w:t>
            </w:r>
          </w:p>
          <w:p w:rsidRPr="005430CB" w:rsidR="005430CB" w:rsidP="005430CB" w:rsidRDefault="005430CB" w14:paraId="2A23F70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430CB">
              <w:rPr>
                <w:rFonts w:ascii="Century Gothic Light" w:hAnsi="Century Gothic Light" w:cs="Century Gothic Light"/>
                <w:color w:val="09223F"/>
                <w:sz w:val="22"/>
                <w:szCs w:val="22"/>
              </w:rPr>
              <w:lastRenderedPageBreak/>
              <w:t xml:space="preserve">Quoted, "What Are the Challenges to Blockchain Adoption in the Legal Industry? 10 Experts Share Their Insights," </w:t>
            </w:r>
            <w:r w:rsidRPr="005430CB">
              <w:rPr>
                <w:rFonts w:ascii="Century Gothic Light" w:hAnsi="Century Gothic Light" w:cs="Century Gothic Light"/>
                <w:i/>
                <w:iCs/>
                <w:color w:val="09223F"/>
                <w:sz w:val="22"/>
                <w:szCs w:val="22"/>
              </w:rPr>
              <w:t>Disruptor Daily</w:t>
            </w:r>
            <w:r w:rsidRPr="005430CB">
              <w:rPr>
                <w:rFonts w:ascii="Century Gothic Light" w:hAnsi="Century Gothic Light" w:cs="Century Gothic Light"/>
                <w:color w:val="09223F"/>
                <w:sz w:val="22"/>
                <w:szCs w:val="22"/>
              </w:rPr>
              <w:t>, May 10, 2019</w:t>
            </w:r>
          </w:p>
          <w:p w:rsidRPr="005430CB" w:rsidR="005430CB" w:rsidP="005430CB" w:rsidRDefault="005430CB" w14:paraId="40C8082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430CB">
              <w:rPr>
                <w:rFonts w:ascii="Century Gothic Light" w:hAnsi="Century Gothic Light" w:cs="Century Gothic Light"/>
                <w:color w:val="09223F"/>
                <w:sz w:val="22"/>
                <w:szCs w:val="22"/>
              </w:rPr>
              <w:t xml:space="preserve">Quoted, "What's the State of Blockchain in the Legal Industry? 9 Experts Share Their Insights," </w:t>
            </w:r>
            <w:r w:rsidRPr="005430CB">
              <w:rPr>
                <w:rFonts w:ascii="Century Gothic Light" w:hAnsi="Century Gothic Light" w:cs="Century Gothic Light"/>
                <w:i/>
                <w:iCs/>
                <w:color w:val="09223F"/>
                <w:sz w:val="22"/>
                <w:szCs w:val="22"/>
              </w:rPr>
              <w:t>Disruptor Daily,</w:t>
            </w:r>
            <w:r w:rsidRPr="005430CB">
              <w:rPr>
                <w:rFonts w:ascii="Century Gothic Light" w:hAnsi="Century Gothic Light" w:cs="Century Gothic Light"/>
                <w:color w:val="09223F"/>
                <w:sz w:val="22"/>
                <w:szCs w:val="22"/>
              </w:rPr>
              <w:t xml:space="preserve"> April 12, 2019</w:t>
            </w:r>
          </w:p>
          <w:p w:rsidRPr="005430CB" w:rsidR="005430CB" w:rsidP="005430CB" w:rsidRDefault="005430CB" w14:paraId="54EDA6B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430CB">
              <w:rPr>
                <w:rFonts w:ascii="Century Gothic Light" w:hAnsi="Century Gothic Light" w:cs="Century Gothic Light"/>
                <w:color w:val="09223F"/>
                <w:sz w:val="22"/>
                <w:szCs w:val="22"/>
              </w:rPr>
              <w:t xml:space="preserve">Quoted, “Blockchain and Its Impact on the Legal Industry,” </w:t>
            </w:r>
            <w:r w:rsidRPr="005430CB">
              <w:rPr>
                <w:rFonts w:ascii="Century Gothic Light" w:hAnsi="Century Gothic Light" w:cs="Century Gothic Light"/>
                <w:i/>
                <w:iCs/>
                <w:color w:val="09223F"/>
                <w:sz w:val="22"/>
                <w:szCs w:val="22"/>
              </w:rPr>
              <w:t xml:space="preserve">Rocket Matter’s Legal Productivity, </w:t>
            </w:r>
            <w:r w:rsidRPr="005430CB">
              <w:rPr>
                <w:rFonts w:ascii="Century Gothic Light" w:hAnsi="Century Gothic Light" w:cs="Century Gothic Light"/>
                <w:color w:val="09223F"/>
                <w:sz w:val="22"/>
                <w:szCs w:val="22"/>
              </w:rPr>
              <w:t>August 3, 2018</w:t>
            </w:r>
          </w:p>
          <w:p w:rsidRPr="005430CB" w:rsidR="005430CB" w:rsidP="005430CB" w:rsidRDefault="005430CB" w14:paraId="3C22BA6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430CB">
              <w:rPr>
                <w:rFonts w:ascii="Century Gothic Light" w:hAnsi="Century Gothic Light" w:cs="Century Gothic Light"/>
                <w:color w:val="09223F"/>
                <w:sz w:val="22"/>
                <w:szCs w:val="22"/>
              </w:rPr>
              <w:t xml:space="preserve">Quoted, "The Problems with Blockchain's Smart Contracts," </w:t>
            </w:r>
            <w:r w:rsidRPr="003E62DF">
              <w:rPr>
                <w:rFonts w:ascii="Century Gothic Light" w:hAnsi="Century Gothic Light" w:cs="Century Gothic Light"/>
                <w:i/>
                <w:iCs/>
                <w:color w:val="09223F"/>
                <w:sz w:val="22"/>
                <w:szCs w:val="22"/>
              </w:rPr>
              <w:t>CMS Wire,</w:t>
            </w:r>
            <w:r w:rsidRPr="005430CB">
              <w:rPr>
                <w:rFonts w:ascii="Century Gothic Light" w:hAnsi="Century Gothic Light" w:cs="Century Gothic Light"/>
                <w:color w:val="09223F"/>
                <w:sz w:val="22"/>
                <w:szCs w:val="22"/>
              </w:rPr>
              <w:t xml:space="preserve"> April 9, 2018</w:t>
            </w:r>
          </w:p>
          <w:p w:rsidRPr="009F7119" w:rsidR="0002353F" w:rsidP="005430CB" w:rsidRDefault="005430CB" w14:paraId="708C26DE" w14:textId="1B5643DC">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430CB">
              <w:rPr>
                <w:rFonts w:ascii="Century Gothic Light" w:hAnsi="Century Gothic Light" w:cs="Century Gothic Light"/>
                <w:color w:val="09223F"/>
                <w:sz w:val="22"/>
                <w:szCs w:val="22"/>
              </w:rPr>
              <w:t xml:space="preserve">Quoted, "Blockchain is Disrupting the Future of Legal Tech," </w:t>
            </w:r>
            <w:r w:rsidRPr="003E62DF">
              <w:rPr>
                <w:rFonts w:ascii="Century Gothic Light" w:hAnsi="Century Gothic Light" w:cs="Century Gothic Light"/>
                <w:i/>
                <w:iCs/>
                <w:color w:val="09223F"/>
                <w:sz w:val="22"/>
                <w:szCs w:val="22"/>
              </w:rPr>
              <w:t>Bigger Law Firm,</w:t>
            </w:r>
            <w:r w:rsidRPr="005430CB">
              <w:rPr>
                <w:rFonts w:ascii="Century Gothic Light" w:hAnsi="Century Gothic Light" w:cs="Century Gothic Light"/>
                <w:color w:val="09223F"/>
                <w:sz w:val="22"/>
                <w:szCs w:val="22"/>
              </w:rPr>
              <w:t xml:space="preserve"> March 8, 2018</w:t>
            </w:r>
          </w:p>
        </w:tc>
      </w:tr>
      <w:tr w:rsidR="0002353F" w:rsidTr="7F82BFA7" w14:paraId="4AE61E18" w14:textId="77777777">
        <w:trPr>
          <w:trHeight w:val="288"/>
        </w:trPr>
        <w:tc>
          <w:tcPr>
            <w:tcW w:w="10299" w:type="dxa"/>
            <w:tcMar/>
          </w:tcPr>
          <w:p w:rsidRPr="008F5DD7" w:rsidR="0002353F" w:rsidP="00996259" w:rsidRDefault="0002353F" w14:paraId="0E256025" w14:textId="77777777">
            <w:pPr>
              <w:pStyle w:val="BasicParagraph"/>
              <w:rPr>
                <w:rFonts w:ascii="Century Gothic Light" w:hAnsi="Century Gothic Light" w:cs="Century Gothic Light"/>
                <w:caps/>
                <w:color w:val="F5821F"/>
                <w:szCs w:val="28"/>
              </w:rPr>
            </w:pPr>
          </w:p>
        </w:tc>
      </w:tr>
      <w:tr w:rsidR="0002353F" w:rsidTr="7F82BFA7" w14:paraId="14A39116" w14:textId="77777777">
        <w:trPr>
          <w:trHeight w:val="288"/>
        </w:trPr>
        <w:tc>
          <w:tcPr>
            <w:tcW w:w="10299" w:type="dxa"/>
            <w:tcMar/>
          </w:tcPr>
          <w:p w:rsidRPr="00996259" w:rsidR="0002353F" w:rsidP="0002353F" w:rsidRDefault="0002353F" w14:paraId="67FFFD8A" w14:textId="4F34F87E">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professional and community activities</w:t>
            </w:r>
          </w:p>
          <w:p w:rsidRPr="005430CB" w:rsidR="005430CB" w:rsidP="005430CB" w:rsidRDefault="005430CB" w14:paraId="1AE5111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430CB">
              <w:rPr>
                <w:rFonts w:ascii="Century Gothic Light" w:hAnsi="Century Gothic Light" w:cs="Century Gothic Light"/>
                <w:color w:val="09223F"/>
                <w:sz w:val="22"/>
                <w:szCs w:val="22"/>
              </w:rPr>
              <w:t>Member, State Bar of Arizona</w:t>
            </w:r>
          </w:p>
          <w:p w:rsidRPr="005430CB" w:rsidR="005430CB" w:rsidP="005430CB" w:rsidRDefault="005430CB" w14:paraId="60CD824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430CB">
              <w:rPr>
                <w:rFonts w:ascii="Century Gothic Light" w:hAnsi="Century Gothic Light" w:cs="Century Gothic Light"/>
                <w:color w:val="09223F"/>
                <w:sz w:val="22"/>
                <w:szCs w:val="22"/>
              </w:rPr>
              <w:t>Member, State Bar of Nevada</w:t>
            </w:r>
          </w:p>
          <w:p w:rsidRPr="005430CB" w:rsidR="005430CB" w:rsidP="005430CB" w:rsidRDefault="005430CB" w14:paraId="470B153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430CB">
              <w:rPr>
                <w:rFonts w:ascii="Century Gothic Light" w:hAnsi="Century Gothic Light" w:cs="Century Gothic Light"/>
                <w:color w:val="09223F"/>
                <w:sz w:val="22"/>
                <w:szCs w:val="22"/>
              </w:rPr>
              <w:t>Member, State Bar of California</w:t>
            </w:r>
          </w:p>
          <w:p w:rsidRPr="005430CB" w:rsidR="005430CB" w:rsidP="005430CB" w:rsidRDefault="0051632F" w14:paraId="0F38ABE8" w14:textId="6B351912">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 xml:space="preserve">Past </w:t>
            </w:r>
            <w:r w:rsidRPr="005430CB" w:rsidR="005430CB">
              <w:rPr>
                <w:rFonts w:ascii="Century Gothic Light" w:hAnsi="Century Gothic Light" w:cs="Century Gothic Light"/>
                <w:color w:val="09223F"/>
                <w:sz w:val="22"/>
                <w:szCs w:val="22"/>
              </w:rPr>
              <w:t>Member, Arizona Chamber of Commerce and Industry: Legal, Regulatory and Financial Services Committee</w:t>
            </w:r>
          </w:p>
          <w:p w:rsidRPr="0002353F" w:rsidR="0002353F" w:rsidP="005430CB" w:rsidRDefault="005430CB" w14:paraId="54FD4DEE" w14:textId="0C27921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430CB">
              <w:rPr>
                <w:rFonts w:ascii="Century Gothic Light" w:hAnsi="Century Gothic Light" w:cs="Century Gothic Light"/>
                <w:color w:val="09223F"/>
                <w:sz w:val="22"/>
                <w:szCs w:val="22"/>
              </w:rPr>
              <w:t>Past President, Federal Bar Association, Phoenix Chapter</w:t>
            </w:r>
          </w:p>
        </w:tc>
      </w:tr>
      <w:tr w:rsidR="0002353F" w:rsidTr="7F82BFA7" w14:paraId="406C8BA2" w14:textId="77777777">
        <w:trPr>
          <w:trHeight w:val="288"/>
        </w:trPr>
        <w:tc>
          <w:tcPr>
            <w:tcW w:w="10299" w:type="dxa"/>
            <w:tcMar/>
          </w:tcPr>
          <w:p w:rsidRPr="008F5DD7" w:rsidR="0002353F" w:rsidP="00996259" w:rsidRDefault="0002353F" w14:paraId="73C3FA77" w14:textId="77777777">
            <w:pPr>
              <w:pStyle w:val="BasicParagraph"/>
              <w:rPr>
                <w:rFonts w:ascii="Century Gothic Light" w:hAnsi="Century Gothic Light" w:cs="Century Gothic Light"/>
                <w:caps/>
                <w:color w:val="F5821F"/>
                <w:szCs w:val="28"/>
              </w:rPr>
            </w:pPr>
          </w:p>
        </w:tc>
      </w:tr>
      <w:tr w:rsidR="00996259" w:rsidTr="7F82BFA7" w14:paraId="37A27DBA" w14:textId="77777777">
        <w:trPr>
          <w:trHeight w:val="195"/>
        </w:trPr>
        <w:tc>
          <w:tcPr>
            <w:tcW w:w="10299" w:type="dxa"/>
            <w:tcMar/>
          </w:tcPr>
          <w:p w:rsidRPr="00996259" w:rsidR="00996259" w:rsidP="00996259" w:rsidRDefault="00996259" w14:paraId="0239EEB1"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admissions</w:t>
            </w:r>
          </w:p>
          <w:p w:rsidRPr="005430CB" w:rsidR="005430CB" w:rsidP="005430CB" w:rsidRDefault="005430CB" w14:paraId="56F6539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430CB">
              <w:rPr>
                <w:rFonts w:ascii="Century Gothic Light" w:hAnsi="Century Gothic Light" w:cs="Century Gothic Light"/>
                <w:color w:val="09223F"/>
                <w:sz w:val="22"/>
                <w:szCs w:val="22"/>
              </w:rPr>
              <w:t>Arizona</w:t>
            </w:r>
          </w:p>
          <w:p w:rsidRPr="005430CB" w:rsidR="005430CB" w:rsidP="005430CB" w:rsidRDefault="005430CB" w14:paraId="42F1C11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430CB">
              <w:rPr>
                <w:rFonts w:ascii="Century Gothic Light" w:hAnsi="Century Gothic Light" w:cs="Century Gothic Light"/>
                <w:color w:val="09223F"/>
                <w:sz w:val="22"/>
                <w:szCs w:val="22"/>
              </w:rPr>
              <w:t>California</w:t>
            </w:r>
          </w:p>
          <w:p w:rsidRPr="005430CB" w:rsidR="005430CB" w:rsidP="005430CB" w:rsidRDefault="005430CB" w14:paraId="4F89652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430CB">
              <w:rPr>
                <w:rFonts w:ascii="Century Gothic Light" w:hAnsi="Century Gothic Light" w:cs="Century Gothic Light"/>
                <w:color w:val="09223F"/>
                <w:sz w:val="22"/>
                <w:szCs w:val="22"/>
              </w:rPr>
              <w:t>Nevada</w:t>
            </w:r>
          </w:p>
          <w:p w:rsidRPr="005430CB" w:rsidR="005430CB" w:rsidP="005430CB" w:rsidRDefault="005430CB" w14:paraId="64FA3BD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430CB">
              <w:rPr>
                <w:rFonts w:ascii="Century Gothic Light" w:hAnsi="Century Gothic Light" w:cs="Century Gothic Light"/>
                <w:color w:val="09223F"/>
                <w:sz w:val="22"/>
                <w:szCs w:val="22"/>
              </w:rPr>
              <w:t>U.S. District Court, District of Arizona</w:t>
            </w:r>
          </w:p>
          <w:p w:rsidRPr="005430CB" w:rsidR="005430CB" w:rsidP="005430CB" w:rsidRDefault="005430CB" w14:paraId="6ED5B90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430CB">
              <w:rPr>
                <w:rFonts w:ascii="Century Gothic Light" w:hAnsi="Century Gothic Light" w:cs="Century Gothic Light"/>
                <w:color w:val="09223F"/>
                <w:sz w:val="22"/>
                <w:szCs w:val="22"/>
              </w:rPr>
              <w:t>U.S. District Court, Central District of California</w:t>
            </w:r>
          </w:p>
          <w:p w:rsidR="005430CB" w:rsidP="005430CB" w:rsidRDefault="005430CB" w14:paraId="18286EA1" w14:textId="6F0FB515">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430CB">
              <w:rPr>
                <w:rFonts w:ascii="Century Gothic Light" w:hAnsi="Century Gothic Light" w:cs="Century Gothic Light"/>
                <w:color w:val="09223F"/>
                <w:sz w:val="22"/>
                <w:szCs w:val="22"/>
              </w:rPr>
              <w:t>U.S. District Court, Eastern District of California</w:t>
            </w:r>
          </w:p>
          <w:p w:rsidRPr="005430CB" w:rsidR="0051632F" w:rsidP="005430CB" w:rsidRDefault="0051632F" w14:paraId="48A2D60C" w14:textId="39C3CC24">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U.S. District Court, Northern District of California</w:t>
            </w:r>
          </w:p>
          <w:p w:rsidRPr="005430CB" w:rsidR="005430CB" w:rsidP="005430CB" w:rsidRDefault="005430CB" w14:paraId="6228E0B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430CB">
              <w:rPr>
                <w:rFonts w:ascii="Century Gothic Light" w:hAnsi="Century Gothic Light" w:cs="Century Gothic Light"/>
                <w:color w:val="09223F"/>
                <w:sz w:val="22"/>
                <w:szCs w:val="22"/>
              </w:rPr>
              <w:t>U.S. District Court, Southern District of California</w:t>
            </w:r>
          </w:p>
          <w:p w:rsidRPr="005430CB" w:rsidR="005430CB" w:rsidP="005430CB" w:rsidRDefault="005430CB" w14:paraId="5542B31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430CB">
              <w:rPr>
                <w:rFonts w:ascii="Century Gothic Light" w:hAnsi="Century Gothic Light" w:cs="Century Gothic Light"/>
                <w:color w:val="09223F"/>
                <w:sz w:val="22"/>
                <w:szCs w:val="22"/>
              </w:rPr>
              <w:t>U.S. District Court, District of Nevada</w:t>
            </w:r>
          </w:p>
          <w:p w:rsidRPr="005430CB" w:rsidR="005430CB" w:rsidP="005430CB" w:rsidRDefault="005430CB" w14:paraId="7ADD399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430CB">
              <w:rPr>
                <w:rFonts w:ascii="Century Gothic Light" w:hAnsi="Century Gothic Light" w:cs="Century Gothic Light"/>
                <w:color w:val="09223F"/>
                <w:sz w:val="22"/>
                <w:szCs w:val="22"/>
              </w:rPr>
              <w:t>U.S. Court of Federal Claims</w:t>
            </w:r>
          </w:p>
          <w:p w:rsidRPr="005430CB" w:rsidR="005430CB" w:rsidP="005430CB" w:rsidRDefault="005430CB" w14:paraId="13F6631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430CB">
              <w:rPr>
                <w:rFonts w:ascii="Century Gothic Light" w:hAnsi="Century Gothic Light" w:cs="Century Gothic Light"/>
                <w:color w:val="09223F"/>
                <w:sz w:val="22"/>
                <w:szCs w:val="22"/>
              </w:rPr>
              <w:t>U.S. Court of Appeals, Eighth Circuit</w:t>
            </w:r>
          </w:p>
          <w:p w:rsidRPr="00340AE6" w:rsidR="00AD3FAF" w:rsidP="005430CB" w:rsidRDefault="005430CB" w14:paraId="044073AE" w14:textId="6E435286">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430CB">
              <w:rPr>
                <w:rFonts w:ascii="Century Gothic Light" w:hAnsi="Century Gothic Light" w:cs="Century Gothic Light"/>
                <w:color w:val="09223F"/>
                <w:sz w:val="22"/>
                <w:szCs w:val="22"/>
              </w:rPr>
              <w:t>U.S. Court of Appeals, Ninth Circuit</w:t>
            </w:r>
          </w:p>
        </w:tc>
      </w:tr>
    </w:tbl>
    <w:p w:rsidR="008700A0" w:rsidP="00124890" w:rsidRDefault="008700A0" w14:paraId="6FBE2627" w14:textId="77777777"/>
    <w:sectPr w:rsidR="008700A0" w:rsidSect="00FB06C0">
      <w:headerReference w:type="default" r:id="rId7"/>
      <w:headerReference w:type="first" r:id="rId8"/>
      <w:pgSz w:w="12240" w:h="15840" w:orient="portrait"/>
      <w:pgMar w:top="720" w:right="720" w:bottom="1008" w:left="72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50A46" w:rsidP="008700A0" w:rsidRDefault="00850A46" w14:paraId="63FD0BD2" w14:textId="77777777">
      <w:pPr>
        <w:spacing w:after="0" w:line="240" w:lineRule="auto"/>
      </w:pPr>
      <w:r>
        <w:separator/>
      </w:r>
    </w:p>
  </w:endnote>
  <w:endnote w:type="continuationSeparator" w:id="0">
    <w:p w:rsidR="00850A46" w:rsidP="008700A0" w:rsidRDefault="00850A46" w14:paraId="1A34C1D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Light">
    <w:panose1 w:val="020B0302020202020204"/>
    <w:charset w:val="00"/>
    <w:family w:val="swiss"/>
    <w:notTrueType/>
    <w:pitch w:val="variable"/>
    <w:sig w:usb0="A00002FF" w:usb1="4000205B" w:usb2="00000008"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50A46" w:rsidP="008700A0" w:rsidRDefault="00850A46" w14:paraId="534DF240" w14:textId="77777777">
      <w:pPr>
        <w:spacing w:after="0" w:line="240" w:lineRule="auto"/>
      </w:pPr>
      <w:r>
        <w:separator/>
      </w:r>
    </w:p>
  </w:footnote>
  <w:footnote w:type="continuationSeparator" w:id="0">
    <w:p w:rsidR="00850A46" w:rsidP="008700A0" w:rsidRDefault="00850A46" w14:paraId="49CBC82A"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6F89623" w14:textId="77777777">
    <w:pPr>
      <w:pStyle w:val="Header"/>
    </w:pPr>
    <w:r>
      <w:rPr>
        <w:noProof/>
      </w:rPr>
      <w:drawing>
        <wp:anchor distT="0" distB="0" distL="114300" distR="114300" simplePos="0" relativeHeight="251659264" behindDoc="1" locked="0" layoutInCell="1" allowOverlap="1" wp14:anchorId="575A1DE1" wp14:editId="43992006">
          <wp:simplePos x="0" y="0"/>
          <wp:positionH relativeFrom="margin">
            <wp:posOffset>-457200</wp:posOffset>
          </wp:positionH>
          <wp:positionV relativeFrom="margin">
            <wp:posOffset>-467360</wp:posOffset>
          </wp:positionV>
          <wp:extent cx="7772337" cy="10058319"/>
          <wp:effectExtent l="0" t="0" r="635"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BDO_AMY2.png"/>
                  <pic:cNvPicPr/>
                </pic:nvPicPr>
                <pic:blipFill>
                  <a:blip r:embed="rId1">
                    <a:extLst>
                      <a:ext uri="{28A0092B-C50C-407E-A947-70E740481C1C}">
                        <a14:useLocalDpi xmlns:a14="http://schemas.microsoft.com/office/drawing/2010/main" val="0"/>
                      </a:ext>
                    </a:extLst>
                  </a:blip>
                  <a:stretch>
                    <a:fillRect/>
                  </a:stretch>
                </pic:blipFill>
                <pic:spPr>
                  <a:xfrm>
                    <a:off x="0" y="0"/>
                    <a:ext cx="7772337" cy="1005831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A6734CC" w14:textId="77777777">
    <w:pPr>
      <w:pStyle w:val="Header"/>
    </w:pPr>
    <w:r>
      <w:rPr>
        <w:noProof/>
      </w:rPr>
      <w:drawing>
        <wp:anchor distT="0" distB="0" distL="114300" distR="114300" simplePos="0" relativeHeight="251658240" behindDoc="1" locked="0" layoutInCell="1" allowOverlap="1" wp14:anchorId="26867CE0" wp14:editId="1AFB018E">
          <wp:simplePos x="0" y="0"/>
          <wp:positionH relativeFrom="margin">
            <wp:posOffset>-457200</wp:posOffset>
          </wp:positionH>
          <wp:positionV relativeFrom="margin">
            <wp:posOffset>-467360</wp:posOffset>
          </wp:positionV>
          <wp:extent cx="7772358" cy="10058346"/>
          <wp:effectExtent l="0" t="0" r="635"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DO_AMY.png"/>
                  <pic:cNvPicPr/>
                </pic:nvPicPr>
                <pic:blipFill>
                  <a:blip r:embed="rId1">
                    <a:extLst>
                      <a:ext uri="{28A0092B-C50C-407E-A947-70E740481C1C}">
                        <a14:useLocalDpi xmlns:a14="http://schemas.microsoft.com/office/drawing/2010/main" val="0"/>
                      </a:ext>
                    </a:extLst>
                  </a:blip>
                  <a:stretch>
                    <a:fillRect/>
                  </a:stretch>
                </pic:blipFill>
                <pic:spPr>
                  <a:xfrm>
                    <a:off x="0" y="0"/>
                    <a:ext cx="7772358" cy="1005834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25945"/>
    <w:multiLevelType w:val="multilevel"/>
    <w:tmpl w:val="08F4CF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C426ECB"/>
    <w:multiLevelType w:val="multilevel"/>
    <w:tmpl w:val="78DE796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0FFE2A83"/>
    <w:multiLevelType w:val="multilevel"/>
    <w:tmpl w:val="4D4825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124B77F5"/>
    <w:multiLevelType w:val="multilevel"/>
    <w:tmpl w:val="867A55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4024CDB"/>
    <w:multiLevelType w:val="multilevel"/>
    <w:tmpl w:val="4C5CF5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15BF6BDA"/>
    <w:multiLevelType w:val="multilevel"/>
    <w:tmpl w:val="D62AA60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18070967"/>
    <w:multiLevelType w:val="hybridMultilevel"/>
    <w:tmpl w:val="D99CDC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18D30ADE"/>
    <w:multiLevelType w:val="multilevel"/>
    <w:tmpl w:val="37BEFC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1B6F22FA"/>
    <w:multiLevelType w:val="hybridMultilevel"/>
    <w:tmpl w:val="162CDD4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1E9A3304"/>
    <w:multiLevelType w:val="multilevel"/>
    <w:tmpl w:val="D3F870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24587FDD"/>
    <w:multiLevelType w:val="multilevel"/>
    <w:tmpl w:val="06761F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28D10C05"/>
    <w:multiLevelType w:val="multilevel"/>
    <w:tmpl w:val="94AC0A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296B1AA6"/>
    <w:multiLevelType w:val="multilevel"/>
    <w:tmpl w:val="0D6660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2DA1243B"/>
    <w:multiLevelType w:val="multilevel"/>
    <w:tmpl w:val="436CFAD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2EBD33B3"/>
    <w:multiLevelType w:val="multilevel"/>
    <w:tmpl w:val="54F8FD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343C0FEB"/>
    <w:multiLevelType w:val="multilevel"/>
    <w:tmpl w:val="A0EE3E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35EF590F"/>
    <w:multiLevelType w:val="multilevel"/>
    <w:tmpl w:val="DA64E9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37185BCE"/>
    <w:multiLevelType w:val="multilevel"/>
    <w:tmpl w:val="6C4638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4F5C3957"/>
    <w:multiLevelType w:val="multilevel"/>
    <w:tmpl w:val="03E011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530D63C0"/>
    <w:multiLevelType w:val="hybridMultilevel"/>
    <w:tmpl w:val="F15271C0"/>
    <w:lvl w:ilvl="0" w:tplc="04090001">
      <w:start w:val="1"/>
      <w:numFmt w:val="bullet"/>
      <w:lvlText w:val=""/>
      <w:lvlJc w:val="left"/>
      <w:pPr>
        <w:ind w:left="920" w:hanging="360"/>
      </w:pPr>
      <w:rPr>
        <w:rFonts w:hint="default" w:ascii="Symbol" w:hAnsi="Symbol"/>
      </w:rPr>
    </w:lvl>
    <w:lvl w:ilvl="1" w:tplc="04090003" w:tentative="1">
      <w:start w:val="1"/>
      <w:numFmt w:val="bullet"/>
      <w:lvlText w:val="o"/>
      <w:lvlJc w:val="left"/>
      <w:pPr>
        <w:ind w:left="1640" w:hanging="360"/>
      </w:pPr>
      <w:rPr>
        <w:rFonts w:hint="default" w:ascii="Courier New" w:hAnsi="Courier New" w:cs="Courier New"/>
      </w:rPr>
    </w:lvl>
    <w:lvl w:ilvl="2" w:tplc="04090005" w:tentative="1">
      <w:start w:val="1"/>
      <w:numFmt w:val="bullet"/>
      <w:lvlText w:val=""/>
      <w:lvlJc w:val="left"/>
      <w:pPr>
        <w:ind w:left="2360" w:hanging="360"/>
      </w:pPr>
      <w:rPr>
        <w:rFonts w:hint="default" w:ascii="Wingdings" w:hAnsi="Wingdings"/>
      </w:rPr>
    </w:lvl>
    <w:lvl w:ilvl="3" w:tplc="04090001" w:tentative="1">
      <w:start w:val="1"/>
      <w:numFmt w:val="bullet"/>
      <w:lvlText w:val=""/>
      <w:lvlJc w:val="left"/>
      <w:pPr>
        <w:ind w:left="3080" w:hanging="360"/>
      </w:pPr>
      <w:rPr>
        <w:rFonts w:hint="default" w:ascii="Symbol" w:hAnsi="Symbol"/>
      </w:rPr>
    </w:lvl>
    <w:lvl w:ilvl="4" w:tplc="04090003" w:tentative="1">
      <w:start w:val="1"/>
      <w:numFmt w:val="bullet"/>
      <w:lvlText w:val="o"/>
      <w:lvlJc w:val="left"/>
      <w:pPr>
        <w:ind w:left="3800" w:hanging="360"/>
      </w:pPr>
      <w:rPr>
        <w:rFonts w:hint="default" w:ascii="Courier New" w:hAnsi="Courier New" w:cs="Courier New"/>
      </w:rPr>
    </w:lvl>
    <w:lvl w:ilvl="5" w:tplc="04090005" w:tentative="1">
      <w:start w:val="1"/>
      <w:numFmt w:val="bullet"/>
      <w:lvlText w:val=""/>
      <w:lvlJc w:val="left"/>
      <w:pPr>
        <w:ind w:left="4520" w:hanging="360"/>
      </w:pPr>
      <w:rPr>
        <w:rFonts w:hint="default" w:ascii="Wingdings" w:hAnsi="Wingdings"/>
      </w:rPr>
    </w:lvl>
    <w:lvl w:ilvl="6" w:tplc="04090001" w:tentative="1">
      <w:start w:val="1"/>
      <w:numFmt w:val="bullet"/>
      <w:lvlText w:val=""/>
      <w:lvlJc w:val="left"/>
      <w:pPr>
        <w:ind w:left="5240" w:hanging="360"/>
      </w:pPr>
      <w:rPr>
        <w:rFonts w:hint="default" w:ascii="Symbol" w:hAnsi="Symbol"/>
      </w:rPr>
    </w:lvl>
    <w:lvl w:ilvl="7" w:tplc="04090003" w:tentative="1">
      <w:start w:val="1"/>
      <w:numFmt w:val="bullet"/>
      <w:lvlText w:val="o"/>
      <w:lvlJc w:val="left"/>
      <w:pPr>
        <w:ind w:left="5960" w:hanging="360"/>
      </w:pPr>
      <w:rPr>
        <w:rFonts w:hint="default" w:ascii="Courier New" w:hAnsi="Courier New" w:cs="Courier New"/>
      </w:rPr>
    </w:lvl>
    <w:lvl w:ilvl="8" w:tplc="04090005" w:tentative="1">
      <w:start w:val="1"/>
      <w:numFmt w:val="bullet"/>
      <w:lvlText w:val=""/>
      <w:lvlJc w:val="left"/>
      <w:pPr>
        <w:ind w:left="6680" w:hanging="360"/>
      </w:pPr>
      <w:rPr>
        <w:rFonts w:hint="default" w:ascii="Wingdings" w:hAnsi="Wingdings"/>
      </w:rPr>
    </w:lvl>
  </w:abstractNum>
  <w:abstractNum w:abstractNumId="20" w15:restartNumberingAfterBreak="0">
    <w:nsid w:val="539D0598"/>
    <w:multiLevelType w:val="multilevel"/>
    <w:tmpl w:val="B482672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54B900A3"/>
    <w:multiLevelType w:val="multilevel"/>
    <w:tmpl w:val="1E0034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56792F5D"/>
    <w:multiLevelType w:val="multilevel"/>
    <w:tmpl w:val="A4BEAB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57437553"/>
    <w:multiLevelType w:val="multilevel"/>
    <w:tmpl w:val="72209C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 w15:restartNumberingAfterBreak="0">
    <w:nsid w:val="58D47CE0"/>
    <w:multiLevelType w:val="multilevel"/>
    <w:tmpl w:val="D7D805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 w15:restartNumberingAfterBreak="0">
    <w:nsid w:val="5B3434CE"/>
    <w:multiLevelType w:val="multilevel"/>
    <w:tmpl w:val="F78EB68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 w15:restartNumberingAfterBreak="0">
    <w:nsid w:val="626037DB"/>
    <w:multiLevelType w:val="multilevel"/>
    <w:tmpl w:val="1BB0A6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 w15:restartNumberingAfterBreak="0">
    <w:nsid w:val="6EAE4FFE"/>
    <w:multiLevelType w:val="hybridMultilevel"/>
    <w:tmpl w:val="D820C73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72004872"/>
    <w:multiLevelType w:val="multilevel"/>
    <w:tmpl w:val="092E7EE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9" w15:restartNumberingAfterBreak="0">
    <w:nsid w:val="755B75DF"/>
    <w:multiLevelType w:val="multilevel"/>
    <w:tmpl w:val="990018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0" w15:restartNumberingAfterBreak="0">
    <w:nsid w:val="78134E01"/>
    <w:multiLevelType w:val="multilevel"/>
    <w:tmpl w:val="9CCCE9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1" w15:restartNumberingAfterBreak="0">
    <w:nsid w:val="7ADB6F45"/>
    <w:multiLevelType w:val="multilevel"/>
    <w:tmpl w:val="03C604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27"/>
  </w:num>
  <w:num w:numId="2">
    <w:abstractNumId w:val="8"/>
  </w:num>
  <w:num w:numId="3">
    <w:abstractNumId w:val="19"/>
  </w:num>
  <w:num w:numId="4">
    <w:abstractNumId w:val="6"/>
  </w:num>
  <w:num w:numId="5">
    <w:abstractNumId w:val="7"/>
  </w:num>
  <w:num w:numId="6">
    <w:abstractNumId w:val="23"/>
  </w:num>
  <w:num w:numId="7">
    <w:abstractNumId w:val="22"/>
  </w:num>
  <w:num w:numId="8">
    <w:abstractNumId w:val="18"/>
  </w:num>
  <w:num w:numId="9">
    <w:abstractNumId w:val="10"/>
  </w:num>
  <w:num w:numId="10">
    <w:abstractNumId w:val="15"/>
  </w:num>
  <w:num w:numId="11">
    <w:abstractNumId w:val="24"/>
  </w:num>
  <w:num w:numId="12">
    <w:abstractNumId w:val="11"/>
  </w:num>
  <w:num w:numId="13">
    <w:abstractNumId w:val="3"/>
  </w:num>
  <w:num w:numId="14">
    <w:abstractNumId w:val="29"/>
  </w:num>
  <w:num w:numId="15">
    <w:abstractNumId w:val="30"/>
  </w:num>
  <w:num w:numId="16">
    <w:abstractNumId w:val="16"/>
  </w:num>
  <w:num w:numId="17">
    <w:abstractNumId w:val="17"/>
  </w:num>
  <w:num w:numId="18">
    <w:abstractNumId w:val="2"/>
  </w:num>
  <w:num w:numId="19">
    <w:abstractNumId w:val="21"/>
  </w:num>
  <w:num w:numId="20">
    <w:abstractNumId w:val="26"/>
  </w:num>
  <w:num w:numId="21">
    <w:abstractNumId w:val="12"/>
  </w:num>
  <w:num w:numId="22">
    <w:abstractNumId w:val="31"/>
  </w:num>
  <w:num w:numId="23">
    <w:abstractNumId w:val="13"/>
  </w:num>
  <w:num w:numId="24">
    <w:abstractNumId w:val="20"/>
  </w:num>
  <w:num w:numId="25">
    <w:abstractNumId w:val="9"/>
  </w:num>
  <w:num w:numId="26">
    <w:abstractNumId w:val="14"/>
  </w:num>
  <w:num w:numId="27">
    <w:abstractNumId w:val="5"/>
  </w:num>
  <w:num w:numId="28">
    <w:abstractNumId w:val="0"/>
  </w:num>
  <w:num w:numId="29">
    <w:abstractNumId w:val="1"/>
  </w:num>
  <w:num w:numId="30">
    <w:abstractNumId w:val="25"/>
  </w:num>
  <w:num w:numId="31">
    <w:abstractNumId w:val="4"/>
  </w:num>
  <w:num w:numId="3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dirty"/>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0A0"/>
    <w:rsid w:val="0002353F"/>
    <w:rsid w:val="0005599F"/>
    <w:rsid w:val="000B29E6"/>
    <w:rsid w:val="000D2207"/>
    <w:rsid w:val="000E3ECF"/>
    <w:rsid w:val="000F6FAD"/>
    <w:rsid w:val="001138EA"/>
    <w:rsid w:val="00124890"/>
    <w:rsid w:val="0019269A"/>
    <w:rsid w:val="001C6685"/>
    <w:rsid w:val="001F1000"/>
    <w:rsid w:val="00216E51"/>
    <w:rsid w:val="00217188"/>
    <w:rsid w:val="0021738A"/>
    <w:rsid w:val="002548B5"/>
    <w:rsid w:val="00266E0F"/>
    <w:rsid w:val="0027769A"/>
    <w:rsid w:val="00290ABD"/>
    <w:rsid w:val="00290F41"/>
    <w:rsid w:val="00295769"/>
    <w:rsid w:val="002A2E90"/>
    <w:rsid w:val="002D5A17"/>
    <w:rsid w:val="00312CFC"/>
    <w:rsid w:val="003203C6"/>
    <w:rsid w:val="0032458F"/>
    <w:rsid w:val="00325FC1"/>
    <w:rsid w:val="00332C98"/>
    <w:rsid w:val="00333AD5"/>
    <w:rsid w:val="00340AE6"/>
    <w:rsid w:val="00345563"/>
    <w:rsid w:val="00371E4C"/>
    <w:rsid w:val="003779A7"/>
    <w:rsid w:val="0039208F"/>
    <w:rsid w:val="003D6259"/>
    <w:rsid w:val="003D692F"/>
    <w:rsid w:val="003E62DF"/>
    <w:rsid w:val="004533D0"/>
    <w:rsid w:val="004B0FA7"/>
    <w:rsid w:val="00515DE9"/>
    <w:rsid w:val="0051632F"/>
    <w:rsid w:val="00517E18"/>
    <w:rsid w:val="00536076"/>
    <w:rsid w:val="005430CB"/>
    <w:rsid w:val="005501CE"/>
    <w:rsid w:val="00551687"/>
    <w:rsid w:val="00566492"/>
    <w:rsid w:val="00587218"/>
    <w:rsid w:val="00590A25"/>
    <w:rsid w:val="005A05EE"/>
    <w:rsid w:val="005A0F4F"/>
    <w:rsid w:val="005B4C1E"/>
    <w:rsid w:val="005D3709"/>
    <w:rsid w:val="005F080B"/>
    <w:rsid w:val="00617B93"/>
    <w:rsid w:val="00644C31"/>
    <w:rsid w:val="00655093"/>
    <w:rsid w:val="006B6CF6"/>
    <w:rsid w:val="006C3477"/>
    <w:rsid w:val="00733A23"/>
    <w:rsid w:val="00761131"/>
    <w:rsid w:val="00772C3A"/>
    <w:rsid w:val="00795E7E"/>
    <w:rsid w:val="007A532B"/>
    <w:rsid w:val="007C384C"/>
    <w:rsid w:val="007D2922"/>
    <w:rsid w:val="007F5739"/>
    <w:rsid w:val="00841578"/>
    <w:rsid w:val="00850A46"/>
    <w:rsid w:val="0086010D"/>
    <w:rsid w:val="00863372"/>
    <w:rsid w:val="008700A0"/>
    <w:rsid w:val="008735EE"/>
    <w:rsid w:val="00886858"/>
    <w:rsid w:val="008A29E8"/>
    <w:rsid w:val="008B0E1C"/>
    <w:rsid w:val="008D168A"/>
    <w:rsid w:val="008D5FA8"/>
    <w:rsid w:val="008D6B2D"/>
    <w:rsid w:val="008E06BB"/>
    <w:rsid w:val="008E6056"/>
    <w:rsid w:val="008F5DD7"/>
    <w:rsid w:val="009067C3"/>
    <w:rsid w:val="00911A93"/>
    <w:rsid w:val="00920E7D"/>
    <w:rsid w:val="009366B8"/>
    <w:rsid w:val="00937844"/>
    <w:rsid w:val="00950ADB"/>
    <w:rsid w:val="00996259"/>
    <w:rsid w:val="0099759E"/>
    <w:rsid w:val="009F59F7"/>
    <w:rsid w:val="009F7119"/>
    <w:rsid w:val="00A01755"/>
    <w:rsid w:val="00A10950"/>
    <w:rsid w:val="00A44AD9"/>
    <w:rsid w:val="00A46A51"/>
    <w:rsid w:val="00A51833"/>
    <w:rsid w:val="00A52F24"/>
    <w:rsid w:val="00A81B18"/>
    <w:rsid w:val="00A87D32"/>
    <w:rsid w:val="00A90446"/>
    <w:rsid w:val="00A95055"/>
    <w:rsid w:val="00AA6CBE"/>
    <w:rsid w:val="00AB20C4"/>
    <w:rsid w:val="00AC17A3"/>
    <w:rsid w:val="00AD3BB1"/>
    <w:rsid w:val="00AD3FAF"/>
    <w:rsid w:val="00AE1C23"/>
    <w:rsid w:val="00B44160"/>
    <w:rsid w:val="00B664FF"/>
    <w:rsid w:val="00B779C2"/>
    <w:rsid w:val="00B95D5D"/>
    <w:rsid w:val="00B96A47"/>
    <w:rsid w:val="00BA0567"/>
    <w:rsid w:val="00BA0C8B"/>
    <w:rsid w:val="00BA5277"/>
    <w:rsid w:val="00BC1370"/>
    <w:rsid w:val="00BC268B"/>
    <w:rsid w:val="00C15349"/>
    <w:rsid w:val="00C23A89"/>
    <w:rsid w:val="00C251B7"/>
    <w:rsid w:val="00C3111D"/>
    <w:rsid w:val="00C314DA"/>
    <w:rsid w:val="00C61BBC"/>
    <w:rsid w:val="00C727B6"/>
    <w:rsid w:val="00CC750D"/>
    <w:rsid w:val="00CD15B0"/>
    <w:rsid w:val="00CF5C24"/>
    <w:rsid w:val="00D23AE3"/>
    <w:rsid w:val="00D3611B"/>
    <w:rsid w:val="00D86F43"/>
    <w:rsid w:val="00DC046C"/>
    <w:rsid w:val="00DC7405"/>
    <w:rsid w:val="00DD3DB3"/>
    <w:rsid w:val="00DD7C9B"/>
    <w:rsid w:val="00DE4410"/>
    <w:rsid w:val="00E0643E"/>
    <w:rsid w:val="00E10978"/>
    <w:rsid w:val="00E151C8"/>
    <w:rsid w:val="00E4405C"/>
    <w:rsid w:val="00E51AB5"/>
    <w:rsid w:val="00ED2D47"/>
    <w:rsid w:val="00EE7F20"/>
    <w:rsid w:val="00F03F17"/>
    <w:rsid w:val="00F23DC3"/>
    <w:rsid w:val="00F500CC"/>
    <w:rsid w:val="00F87B62"/>
    <w:rsid w:val="00FB06C0"/>
    <w:rsid w:val="00FC5E49"/>
    <w:rsid w:val="00FE1A3F"/>
    <w:rsid w:val="7F82BF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7030BA"/>
  <w15:chartTrackingRefBased/>
  <w15:docId w15:val="{C60FBD71-B6ED-45D6-BA7D-7BE4F00E0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Gothic Light" w:hAnsi="Century Gothic Light" w:eastAsiaTheme="minorHAnsi" w:cstheme="minorBidi"/>
        <w:color w:val="002F6C" w:themeColor="text2"/>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067C3"/>
  </w:style>
  <w:style w:type="paragraph" w:styleId="Heading1">
    <w:name w:val="heading 1"/>
    <w:basedOn w:val="Normal"/>
    <w:next w:val="Normal"/>
    <w:link w:val="Heading1Char"/>
    <w:uiPriority w:val="9"/>
    <w:qFormat/>
    <w:rsid w:val="005501CE"/>
    <w:pPr>
      <w:keepNext/>
      <w:keepLines/>
      <w:spacing w:before="240" w:after="0"/>
      <w:outlineLvl w:val="0"/>
    </w:pPr>
    <w:rPr>
      <w:rFonts w:eastAsiaTheme="majorEastAsia" w:cstheme="majorBidi"/>
      <w:color w:val="FF8200" w:themeColor="accent2"/>
      <w:sz w:val="28"/>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8700A0"/>
    <w:pPr>
      <w:tabs>
        <w:tab w:val="center" w:pos="4680"/>
        <w:tab w:val="right" w:pos="9360"/>
      </w:tabs>
      <w:spacing w:after="0" w:line="240" w:lineRule="auto"/>
    </w:pPr>
  </w:style>
  <w:style w:type="character" w:styleId="HeaderChar" w:customStyle="1">
    <w:name w:val="Header Char"/>
    <w:basedOn w:val="DefaultParagraphFont"/>
    <w:link w:val="Header"/>
    <w:uiPriority w:val="99"/>
    <w:rsid w:val="008700A0"/>
  </w:style>
  <w:style w:type="paragraph" w:styleId="Footer">
    <w:name w:val="footer"/>
    <w:basedOn w:val="Normal"/>
    <w:link w:val="FooterChar"/>
    <w:uiPriority w:val="99"/>
    <w:unhideWhenUsed/>
    <w:rsid w:val="008700A0"/>
    <w:pPr>
      <w:tabs>
        <w:tab w:val="center" w:pos="4680"/>
        <w:tab w:val="right" w:pos="9360"/>
      </w:tabs>
      <w:spacing w:after="0" w:line="240" w:lineRule="auto"/>
    </w:pPr>
  </w:style>
  <w:style w:type="character" w:styleId="FooterChar" w:customStyle="1">
    <w:name w:val="Footer Char"/>
    <w:basedOn w:val="DefaultParagraphFont"/>
    <w:link w:val="Footer"/>
    <w:uiPriority w:val="99"/>
    <w:rsid w:val="008700A0"/>
  </w:style>
  <w:style w:type="paragraph" w:styleId="BalloonText">
    <w:name w:val="Balloon Text"/>
    <w:basedOn w:val="Normal"/>
    <w:link w:val="BalloonTextChar"/>
    <w:uiPriority w:val="99"/>
    <w:semiHidden/>
    <w:unhideWhenUsed/>
    <w:rsid w:val="008700A0"/>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8700A0"/>
    <w:rPr>
      <w:rFonts w:ascii="Segoe UI" w:hAnsi="Segoe UI" w:cs="Segoe UI"/>
      <w:sz w:val="18"/>
      <w:szCs w:val="18"/>
    </w:rPr>
  </w:style>
  <w:style w:type="table" w:styleId="TableGrid">
    <w:name w:val="Table Grid"/>
    <w:basedOn w:val="TableNormal"/>
    <w:uiPriority w:val="39"/>
    <w:rsid w:val="008700A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sicParagraph" w:customStyle="1">
    <w:name w:val="[Basic Paragraph]"/>
    <w:basedOn w:val="Normal"/>
    <w:uiPriority w:val="99"/>
    <w:rsid w:val="008700A0"/>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Hyperlink">
    <w:name w:val="Hyperlink"/>
    <w:basedOn w:val="DefaultParagraphFont"/>
    <w:uiPriority w:val="99"/>
    <w:semiHidden/>
    <w:unhideWhenUsed/>
    <w:rsid w:val="008F5DD7"/>
    <w:rPr>
      <w:color w:val="0000FF"/>
      <w:u w:val="single"/>
    </w:rPr>
  </w:style>
  <w:style w:type="character" w:styleId="Heading1Char" w:customStyle="1">
    <w:name w:val="Heading 1 Char"/>
    <w:basedOn w:val="DefaultParagraphFont"/>
    <w:link w:val="Heading1"/>
    <w:uiPriority w:val="9"/>
    <w:rsid w:val="005501CE"/>
    <w:rPr>
      <w:rFonts w:ascii="Century Gothic Light" w:hAnsi="Century Gothic Light" w:eastAsiaTheme="majorEastAsia" w:cstheme="majorBidi"/>
      <w:color w:val="FF8200" w:themeColor="accent2"/>
      <w:sz w:val="28"/>
      <w:szCs w:val="32"/>
    </w:rPr>
  </w:style>
  <w:style w:type="character" w:styleId="Emphasis">
    <w:name w:val="Emphasis"/>
    <w:basedOn w:val="DefaultParagraphFont"/>
    <w:uiPriority w:val="20"/>
    <w:qFormat/>
    <w:rsid w:val="005501CE"/>
    <w:rPr>
      <w:i/>
      <w:iCs/>
    </w:rPr>
  </w:style>
  <w:style w:type="paragraph" w:styleId="NoSpacing">
    <w:name w:val="No Spacing"/>
    <w:aliases w:val="Bulleted Content"/>
    <w:uiPriority w:val="1"/>
    <w:qFormat/>
    <w:rsid w:val="005501CE"/>
    <w:pPr>
      <w:spacing w:after="0" w:line="240" w:lineRule="auto"/>
    </w:pPr>
  </w:style>
  <w:style w:type="character" w:styleId="Strong">
    <w:name w:val="Strong"/>
    <w:basedOn w:val="DefaultParagraphFont"/>
    <w:uiPriority w:val="22"/>
    <w:qFormat/>
    <w:rsid w:val="005501CE"/>
    <w:rPr>
      <w:b/>
      <w:bCs/>
    </w:rPr>
  </w:style>
  <w:style w:type="paragraph" w:styleId="NormalWeb">
    <w:name w:val="Normal (Web)"/>
    <w:basedOn w:val="Normal"/>
    <w:uiPriority w:val="99"/>
    <w:semiHidden/>
    <w:unhideWhenUsed/>
    <w:rsid w:val="005501CE"/>
    <w:pPr>
      <w:spacing w:before="100" w:beforeAutospacing="1" w:after="100" w:afterAutospacing="1" w:line="240" w:lineRule="auto"/>
    </w:pPr>
    <w:rPr>
      <w:rFonts w:ascii="Times New Roman" w:hAnsi="Times New Roman" w:eastAsia="Times New Roman" w:cs="Times New Roman"/>
      <w:color w:val="auto"/>
      <w:sz w:val="24"/>
      <w:szCs w:val="24"/>
    </w:rPr>
  </w:style>
  <w:style w:type="paragraph" w:styleId="ListParagraph">
    <w:name w:val="List Paragraph"/>
    <w:basedOn w:val="Normal"/>
    <w:uiPriority w:val="34"/>
    <w:qFormat/>
    <w:rsid w:val="00DC74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748403">
      <w:bodyDiv w:val="1"/>
      <w:marLeft w:val="0"/>
      <w:marRight w:val="0"/>
      <w:marTop w:val="0"/>
      <w:marBottom w:val="0"/>
      <w:divBdr>
        <w:top w:val="none" w:sz="0" w:space="0" w:color="auto"/>
        <w:left w:val="none" w:sz="0" w:space="0" w:color="auto"/>
        <w:bottom w:val="none" w:sz="0" w:space="0" w:color="auto"/>
        <w:right w:val="none" w:sz="0" w:space="0" w:color="auto"/>
      </w:divBdr>
    </w:div>
    <w:div w:id="92828738">
      <w:bodyDiv w:val="1"/>
      <w:marLeft w:val="0"/>
      <w:marRight w:val="0"/>
      <w:marTop w:val="0"/>
      <w:marBottom w:val="0"/>
      <w:divBdr>
        <w:top w:val="none" w:sz="0" w:space="0" w:color="auto"/>
        <w:left w:val="none" w:sz="0" w:space="0" w:color="auto"/>
        <w:bottom w:val="none" w:sz="0" w:space="0" w:color="auto"/>
        <w:right w:val="none" w:sz="0" w:space="0" w:color="auto"/>
      </w:divBdr>
    </w:div>
    <w:div w:id="108011763">
      <w:bodyDiv w:val="1"/>
      <w:marLeft w:val="0"/>
      <w:marRight w:val="0"/>
      <w:marTop w:val="0"/>
      <w:marBottom w:val="0"/>
      <w:divBdr>
        <w:top w:val="none" w:sz="0" w:space="0" w:color="auto"/>
        <w:left w:val="none" w:sz="0" w:space="0" w:color="auto"/>
        <w:bottom w:val="none" w:sz="0" w:space="0" w:color="auto"/>
        <w:right w:val="none" w:sz="0" w:space="0" w:color="auto"/>
      </w:divBdr>
    </w:div>
    <w:div w:id="270094753">
      <w:bodyDiv w:val="1"/>
      <w:marLeft w:val="0"/>
      <w:marRight w:val="0"/>
      <w:marTop w:val="0"/>
      <w:marBottom w:val="0"/>
      <w:divBdr>
        <w:top w:val="none" w:sz="0" w:space="0" w:color="auto"/>
        <w:left w:val="none" w:sz="0" w:space="0" w:color="auto"/>
        <w:bottom w:val="none" w:sz="0" w:space="0" w:color="auto"/>
        <w:right w:val="none" w:sz="0" w:space="0" w:color="auto"/>
      </w:divBdr>
    </w:div>
    <w:div w:id="381058476">
      <w:bodyDiv w:val="1"/>
      <w:marLeft w:val="0"/>
      <w:marRight w:val="0"/>
      <w:marTop w:val="0"/>
      <w:marBottom w:val="0"/>
      <w:divBdr>
        <w:top w:val="none" w:sz="0" w:space="0" w:color="auto"/>
        <w:left w:val="none" w:sz="0" w:space="0" w:color="auto"/>
        <w:bottom w:val="none" w:sz="0" w:space="0" w:color="auto"/>
        <w:right w:val="none" w:sz="0" w:space="0" w:color="auto"/>
      </w:divBdr>
    </w:div>
    <w:div w:id="386683006">
      <w:bodyDiv w:val="1"/>
      <w:marLeft w:val="0"/>
      <w:marRight w:val="0"/>
      <w:marTop w:val="0"/>
      <w:marBottom w:val="0"/>
      <w:divBdr>
        <w:top w:val="none" w:sz="0" w:space="0" w:color="auto"/>
        <w:left w:val="none" w:sz="0" w:space="0" w:color="auto"/>
        <w:bottom w:val="none" w:sz="0" w:space="0" w:color="auto"/>
        <w:right w:val="none" w:sz="0" w:space="0" w:color="auto"/>
      </w:divBdr>
    </w:div>
    <w:div w:id="420108427">
      <w:bodyDiv w:val="1"/>
      <w:marLeft w:val="0"/>
      <w:marRight w:val="0"/>
      <w:marTop w:val="0"/>
      <w:marBottom w:val="0"/>
      <w:divBdr>
        <w:top w:val="none" w:sz="0" w:space="0" w:color="auto"/>
        <w:left w:val="none" w:sz="0" w:space="0" w:color="auto"/>
        <w:bottom w:val="none" w:sz="0" w:space="0" w:color="auto"/>
        <w:right w:val="none" w:sz="0" w:space="0" w:color="auto"/>
      </w:divBdr>
    </w:div>
    <w:div w:id="470708773">
      <w:bodyDiv w:val="1"/>
      <w:marLeft w:val="0"/>
      <w:marRight w:val="0"/>
      <w:marTop w:val="0"/>
      <w:marBottom w:val="0"/>
      <w:divBdr>
        <w:top w:val="none" w:sz="0" w:space="0" w:color="auto"/>
        <w:left w:val="none" w:sz="0" w:space="0" w:color="auto"/>
        <w:bottom w:val="none" w:sz="0" w:space="0" w:color="auto"/>
        <w:right w:val="none" w:sz="0" w:space="0" w:color="auto"/>
      </w:divBdr>
    </w:div>
    <w:div w:id="473379356">
      <w:bodyDiv w:val="1"/>
      <w:marLeft w:val="0"/>
      <w:marRight w:val="0"/>
      <w:marTop w:val="0"/>
      <w:marBottom w:val="0"/>
      <w:divBdr>
        <w:top w:val="none" w:sz="0" w:space="0" w:color="auto"/>
        <w:left w:val="none" w:sz="0" w:space="0" w:color="auto"/>
        <w:bottom w:val="none" w:sz="0" w:space="0" w:color="auto"/>
        <w:right w:val="none" w:sz="0" w:space="0" w:color="auto"/>
      </w:divBdr>
    </w:div>
    <w:div w:id="476843014">
      <w:bodyDiv w:val="1"/>
      <w:marLeft w:val="0"/>
      <w:marRight w:val="0"/>
      <w:marTop w:val="0"/>
      <w:marBottom w:val="0"/>
      <w:divBdr>
        <w:top w:val="none" w:sz="0" w:space="0" w:color="auto"/>
        <w:left w:val="none" w:sz="0" w:space="0" w:color="auto"/>
        <w:bottom w:val="none" w:sz="0" w:space="0" w:color="auto"/>
        <w:right w:val="none" w:sz="0" w:space="0" w:color="auto"/>
      </w:divBdr>
    </w:div>
    <w:div w:id="548614391">
      <w:bodyDiv w:val="1"/>
      <w:marLeft w:val="0"/>
      <w:marRight w:val="0"/>
      <w:marTop w:val="0"/>
      <w:marBottom w:val="0"/>
      <w:divBdr>
        <w:top w:val="none" w:sz="0" w:space="0" w:color="auto"/>
        <w:left w:val="none" w:sz="0" w:space="0" w:color="auto"/>
        <w:bottom w:val="none" w:sz="0" w:space="0" w:color="auto"/>
        <w:right w:val="none" w:sz="0" w:space="0" w:color="auto"/>
      </w:divBdr>
    </w:div>
    <w:div w:id="636304956">
      <w:bodyDiv w:val="1"/>
      <w:marLeft w:val="0"/>
      <w:marRight w:val="0"/>
      <w:marTop w:val="0"/>
      <w:marBottom w:val="0"/>
      <w:divBdr>
        <w:top w:val="none" w:sz="0" w:space="0" w:color="auto"/>
        <w:left w:val="none" w:sz="0" w:space="0" w:color="auto"/>
        <w:bottom w:val="none" w:sz="0" w:space="0" w:color="auto"/>
        <w:right w:val="none" w:sz="0" w:space="0" w:color="auto"/>
      </w:divBdr>
    </w:div>
    <w:div w:id="701633725">
      <w:bodyDiv w:val="1"/>
      <w:marLeft w:val="0"/>
      <w:marRight w:val="0"/>
      <w:marTop w:val="0"/>
      <w:marBottom w:val="0"/>
      <w:divBdr>
        <w:top w:val="none" w:sz="0" w:space="0" w:color="auto"/>
        <w:left w:val="none" w:sz="0" w:space="0" w:color="auto"/>
        <w:bottom w:val="none" w:sz="0" w:space="0" w:color="auto"/>
        <w:right w:val="none" w:sz="0" w:space="0" w:color="auto"/>
      </w:divBdr>
    </w:div>
    <w:div w:id="729114715">
      <w:bodyDiv w:val="1"/>
      <w:marLeft w:val="0"/>
      <w:marRight w:val="0"/>
      <w:marTop w:val="0"/>
      <w:marBottom w:val="0"/>
      <w:divBdr>
        <w:top w:val="none" w:sz="0" w:space="0" w:color="auto"/>
        <w:left w:val="none" w:sz="0" w:space="0" w:color="auto"/>
        <w:bottom w:val="none" w:sz="0" w:space="0" w:color="auto"/>
        <w:right w:val="none" w:sz="0" w:space="0" w:color="auto"/>
      </w:divBdr>
    </w:div>
    <w:div w:id="763454396">
      <w:bodyDiv w:val="1"/>
      <w:marLeft w:val="0"/>
      <w:marRight w:val="0"/>
      <w:marTop w:val="0"/>
      <w:marBottom w:val="0"/>
      <w:divBdr>
        <w:top w:val="none" w:sz="0" w:space="0" w:color="auto"/>
        <w:left w:val="none" w:sz="0" w:space="0" w:color="auto"/>
        <w:bottom w:val="none" w:sz="0" w:space="0" w:color="auto"/>
        <w:right w:val="none" w:sz="0" w:space="0" w:color="auto"/>
      </w:divBdr>
      <w:divsChild>
        <w:div w:id="1288316745">
          <w:marLeft w:val="0"/>
          <w:marRight w:val="0"/>
          <w:marTop w:val="0"/>
          <w:marBottom w:val="0"/>
          <w:divBdr>
            <w:top w:val="none" w:sz="0" w:space="0" w:color="auto"/>
            <w:left w:val="none" w:sz="0" w:space="0" w:color="auto"/>
            <w:bottom w:val="none" w:sz="0" w:space="0" w:color="auto"/>
            <w:right w:val="none" w:sz="0" w:space="0" w:color="auto"/>
          </w:divBdr>
        </w:div>
        <w:div w:id="2031560691">
          <w:marLeft w:val="0"/>
          <w:marRight w:val="0"/>
          <w:marTop w:val="0"/>
          <w:marBottom w:val="0"/>
          <w:divBdr>
            <w:top w:val="none" w:sz="0" w:space="0" w:color="auto"/>
            <w:left w:val="none" w:sz="0" w:space="0" w:color="auto"/>
            <w:bottom w:val="none" w:sz="0" w:space="0" w:color="auto"/>
            <w:right w:val="none" w:sz="0" w:space="0" w:color="auto"/>
          </w:divBdr>
        </w:div>
      </w:divsChild>
    </w:div>
    <w:div w:id="837575991">
      <w:bodyDiv w:val="1"/>
      <w:marLeft w:val="0"/>
      <w:marRight w:val="0"/>
      <w:marTop w:val="0"/>
      <w:marBottom w:val="0"/>
      <w:divBdr>
        <w:top w:val="none" w:sz="0" w:space="0" w:color="auto"/>
        <w:left w:val="none" w:sz="0" w:space="0" w:color="auto"/>
        <w:bottom w:val="none" w:sz="0" w:space="0" w:color="auto"/>
        <w:right w:val="none" w:sz="0" w:space="0" w:color="auto"/>
      </w:divBdr>
    </w:div>
    <w:div w:id="851380712">
      <w:bodyDiv w:val="1"/>
      <w:marLeft w:val="0"/>
      <w:marRight w:val="0"/>
      <w:marTop w:val="0"/>
      <w:marBottom w:val="0"/>
      <w:divBdr>
        <w:top w:val="none" w:sz="0" w:space="0" w:color="auto"/>
        <w:left w:val="none" w:sz="0" w:space="0" w:color="auto"/>
        <w:bottom w:val="none" w:sz="0" w:space="0" w:color="auto"/>
        <w:right w:val="none" w:sz="0" w:space="0" w:color="auto"/>
      </w:divBdr>
    </w:div>
    <w:div w:id="1025138676">
      <w:bodyDiv w:val="1"/>
      <w:marLeft w:val="0"/>
      <w:marRight w:val="0"/>
      <w:marTop w:val="0"/>
      <w:marBottom w:val="0"/>
      <w:divBdr>
        <w:top w:val="none" w:sz="0" w:space="0" w:color="auto"/>
        <w:left w:val="none" w:sz="0" w:space="0" w:color="auto"/>
        <w:bottom w:val="none" w:sz="0" w:space="0" w:color="auto"/>
        <w:right w:val="none" w:sz="0" w:space="0" w:color="auto"/>
      </w:divBdr>
    </w:div>
    <w:div w:id="1040282367">
      <w:bodyDiv w:val="1"/>
      <w:marLeft w:val="0"/>
      <w:marRight w:val="0"/>
      <w:marTop w:val="0"/>
      <w:marBottom w:val="0"/>
      <w:divBdr>
        <w:top w:val="none" w:sz="0" w:space="0" w:color="auto"/>
        <w:left w:val="none" w:sz="0" w:space="0" w:color="auto"/>
        <w:bottom w:val="none" w:sz="0" w:space="0" w:color="auto"/>
        <w:right w:val="none" w:sz="0" w:space="0" w:color="auto"/>
      </w:divBdr>
    </w:div>
    <w:div w:id="1098060512">
      <w:bodyDiv w:val="1"/>
      <w:marLeft w:val="0"/>
      <w:marRight w:val="0"/>
      <w:marTop w:val="0"/>
      <w:marBottom w:val="0"/>
      <w:divBdr>
        <w:top w:val="none" w:sz="0" w:space="0" w:color="auto"/>
        <w:left w:val="none" w:sz="0" w:space="0" w:color="auto"/>
        <w:bottom w:val="none" w:sz="0" w:space="0" w:color="auto"/>
        <w:right w:val="none" w:sz="0" w:space="0" w:color="auto"/>
      </w:divBdr>
    </w:div>
    <w:div w:id="1098407617">
      <w:bodyDiv w:val="1"/>
      <w:marLeft w:val="0"/>
      <w:marRight w:val="0"/>
      <w:marTop w:val="0"/>
      <w:marBottom w:val="0"/>
      <w:divBdr>
        <w:top w:val="none" w:sz="0" w:space="0" w:color="auto"/>
        <w:left w:val="none" w:sz="0" w:space="0" w:color="auto"/>
        <w:bottom w:val="none" w:sz="0" w:space="0" w:color="auto"/>
        <w:right w:val="none" w:sz="0" w:space="0" w:color="auto"/>
      </w:divBdr>
    </w:div>
    <w:div w:id="1142967900">
      <w:bodyDiv w:val="1"/>
      <w:marLeft w:val="0"/>
      <w:marRight w:val="0"/>
      <w:marTop w:val="0"/>
      <w:marBottom w:val="0"/>
      <w:divBdr>
        <w:top w:val="none" w:sz="0" w:space="0" w:color="auto"/>
        <w:left w:val="none" w:sz="0" w:space="0" w:color="auto"/>
        <w:bottom w:val="none" w:sz="0" w:space="0" w:color="auto"/>
        <w:right w:val="none" w:sz="0" w:space="0" w:color="auto"/>
      </w:divBdr>
    </w:div>
    <w:div w:id="1297680625">
      <w:bodyDiv w:val="1"/>
      <w:marLeft w:val="0"/>
      <w:marRight w:val="0"/>
      <w:marTop w:val="0"/>
      <w:marBottom w:val="0"/>
      <w:divBdr>
        <w:top w:val="none" w:sz="0" w:space="0" w:color="auto"/>
        <w:left w:val="none" w:sz="0" w:space="0" w:color="auto"/>
        <w:bottom w:val="none" w:sz="0" w:space="0" w:color="auto"/>
        <w:right w:val="none" w:sz="0" w:space="0" w:color="auto"/>
      </w:divBdr>
    </w:div>
    <w:div w:id="1305162146">
      <w:bodyDiv w:val="1"/>
      <w:marLeft w:val="0"/>
      <w:marRight w:val="0"/>
      <w:marTop w:val="0"/>
      <w:marBottom w:val="0"/>
      <w:divBdr>
        <w:top w:val="none" w:sz="0" w:space="0" w:color="auto"/>
        <w:left w:val="none" w:sz="0" w:space="0" w:color="auto"/>
        <w:bottom w:val="none" w:sz="0" w:space="0" w:color="auto"/>
        <w:right w:val="none" w:sz="0" w:space="0" w:color="auto"/>
      </w:divBdr>
    </w:div>
    <w:div w:id="1350989552">
      <w:bodyDiv w:val="1"/>
      <w:marLeft w:val="0"/>
      <w:marRight w:val="0"/>
      <w:marTop w:val="0"/>
      <w:marBottom w:val="0"/>
      <w:divBdr>
        <w:top w:val="none" w:sz="0" w:space="0" w:color="auto"/>
        <w:left w:val="none" w:sz="0" w:space="0" w:color="auto"/>
        <w:bottom w:val="none" w:sz="0" w:space="0" w:color="auto"/>
        <w:right w:val="none" w:sz="0" w:space="0" w:color="auto"/>
      </w:divBdr>
    </w:div>
    <w:div w:id="1509448020">
      <w:bodyDiv w:val="1"/>
      <w:marLeft w:val="0"/>
      <w:marRight w:val="0"/>
      <w:marTop w:val="0"/>
      <w:marBottom w:val="0"/>
      <w:divBdr>
        <w:top w:val="none" w:sz="0" w:space="0" w:color="auto"/>
        <w:left w:val="none" w:sz="0" w:space="0" w:color="auto"/>
        <w:bottom w:val="none" w:sz="0" w:space="0" w:color="auto"/>
        <w:right w:val="none" w:sz="0" w:space="0" w:color="auto"/>
      </w:divBdr>
    </w:div>
    <w:div w:id="1581015135">
      <w:bodyDiv w:val="1"/>
      <w:marLeft w:val="0"/>
      <w:marRight w:val="0"/>
      <w:marTop w:val="0"/>
      <w:marBottom w:val="0"/>
      <w:divBdr>
        <w:top w:val="none" w:sz="0" w:space="0" w:color="auto"/>
        <w:left w:val="none" w:sz="0" w:space="0" w:color="auto"/>
        <w:bottom w:val="none" w:sz="0" w:space="0" w:color="auto"/>
        <w:right w:val="none" w:sz="0" w:space="0" w:color="auto"/>
      </w:divBdr>
    </w:div>
    <w:div w:id="1635403244">
      <w:bodyDiv w:val="1"/>
      <w:marLeft w:val="0"/>
      <w:marRight w:val="0"/>
      <w:marTop w:val="0"/>
      <w:marBottom w:val="0"/>
      <w:divBdr>
        <w:top w:val="none" w:sz="0" w:space="0" w:color="auto"/>
        <w:left w:val="none" w:sz="0" w:space="0" w:color="auto"/>
        <w:bottom w:val="none" w:sz="0" w:space="0" w:color="auto"/>
        <w:right w:val="none" w:sz="0" w:space="0" w:color="auto"/>
      </w:divBdr>
    </w:div>
    <w:div w:id="1697776253">
      <w:bodyDiv w:val="1"/>
      <w:marLeft w:val="0"/>
      <w:marRight w:val="0"/>
      <w:marTop w:val="0"/>
      <w:marBottom w:val="0"/>
      <w:divBdr>
        <w:top w:val="none" w:sz="0" w:space="0" w:color="auto"/>
        <w:left w:val="none" w:sz="0" w:space="0" w:color="auto"/>
        <w:bottom w:val="none" w:sz="0" w:space="0" w:color="auto"/>
        <w:right w:val="none" w:sz="0" w:space="0" w:color="auto"/>
      </w:divBdr>
      <w:divsChild>
        <w:div w:id="1255699329">
          <w:marLeft w:val="0"/>
          <w:marRight w:val="0"/>
          <w:marTop w:val="0"/>
          <w:marBottom w:val="0"/>
          <w:divBdr>
            <w:top w:val="none" w:sz="0" w:space="0" w:color="auto"/>
            <w:left w:val="none" w:sz="0" w:space="0" w:color="auto"/>
            <w:bottom w:val="none" w:sz="0" w:space="0" w:color="auto"/>
            <w:right w:val="none" w:sz="0" w:space="0" w:color="auto"/>
          </w:divBdr>
        </w:div>
        <w:div w:id="1191147971">
          <w:marLeft w:val="0"/>
          <w:marRight w:val="0"/>
          <w:marTop w:val="0"/>
          <w:marBottom w:val="0"/>
          <w:divBdr>
            <w:top w:val="none" w:sz="0" w:space="0" w:color="auto"/>
            <w:left w:val="none" w:sz="0" w:space="0" w:color="auto"/>
            <w:bottom w:val="none" w:sz="0" w:space="0" w:color="auto"/>
            <w:right w:val="none" w:sz="0" w:space="0" w:color="auto"/>
          </w:divBdr>
        </w:div>
      </w:divsChild>
    </w:div>
    <w:div w:id="1808667012">
      <w:bodyDiv w:val="1"/>
      <w:marLeft w:val="0"/>
      <w:marRight w:val="0"/>
      <w:marTop w:val="0"/>
      <w:marBottom w:val="0"/>
      <w:divBdr>
        <w:top w:val="none" w:sz="0" w:space="0" w:color="auto"/>
        <w:left w:val="none" w:sz="0" w:space="0" w:color="auto"/>
        <w:bottom w:val="none" w:sz="0" w:space="0" w:color="auto"/>
        <w:right w:val="none" w:sz="0" w:space="0" w:color="auto"/>
      </w:divBdr>
    </w:div>
    <w:div w:id="1837454378">
      <w:bodyDiv w:val="1"/>
      <w:marLeft w:val="0"/>
      <w:marRight w:val="0"/>
      <w:marTop w:val="0"/>
      <w:marBottom w:val="0"/>
      <w:divBdr>
        <w:top w:val="none" w:sz="0" w:space="0" w:color="auto"/>
        <w:left w:val="none" w:sz="0" w:space="0" w:color="auto"/>
        <w:bottom w:val="none" w:sz="0" w:space="0" w:color="auto"/>
        <w:right w:val="none" w:sz="0" w:space="0" w:color="auto"/>
      </w:divBdr>
    </w:div>
    <w:div w:id="2001613789">
      <w:bodyDiv w:val="1"/>
      <w:marLeft w:val="0"/>
      <w:marRight w:val="0"/>
      <w:marTop w:val="0"/>
      <w:marBottom w:val="0"/>
      <w:divBdr>
        <w:top w:val="none" w:sz="0" w:space="0" w:color="auto"/>
        <w:left w:val="none" w:sz="0" w:space="0" w:color="auto"/>
        <w:bottom w:val="none" w:sz="0" w:space="0" w:color="auto"/>
        <w:right w:val="none" w:sz="0" w:space="0" w:color="auto"/>
      </w:divBdr>
    </w:div>
    <w:div w:id="2021856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eader" Target="header2.xml" Id="rId8"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theme" Target="theme/theme1.xml" Id="rId10" /><Relationship Type="http://schemas.openxmlformats.org/officeDocument/2006/relationships/webSettings" Target="webSettings.xml" Id="rId4" /><Relationship Type="http://schemas.openxmlformats.org/officeDocument/2006/relationships/fontTable" Target="fontTable.xml" Id="rId9"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Fennemore Craig 2020">
      <a:dk1>
        <a:srgbClr val="6E6259"/>
      </a:dk1>
      <a:lt1>
        <a:sysClr val="window" lastClr="FFFFFF"/>
      </a:lt1>
      <a:dk2>
        <a:srgbClr val="002F6C"/>
      </a:dk2>
      <a:lt2>
        <a:srgbClr val="958A82"/>
      </a:lt2>
      <a:accent1>
        <a:srgbClr val="002F6C"/>
      </a:accent1>
      <a:accent2>
        <a:srgbClr val="FF8200"/>
      </a:accent2>
      <a:accent3>
        <a:srgbClr val="003DA5"/>
      </a:accent3>
      <a:accent4>
        <a:srgbClr val="0C2340"/>
      </a:accent4>
      <a:accent5>
        <a:srgbClr val="D6D1CA"/>
      </a:accent5>
      <a:accent6>
        <a:srgbClr val="6E6259"/>
      </a:accent6>
      <a:hlink>
        <a:srgbClr val="FF8200"/>
      </a:hlink>
      <a:folHlink>
        <a:srgbClr val="003DA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JOHNSON, ESME</dc:creator>
  <keywords/>
  <dc:description/>
  <lastModifiedBy>Finessa Bates</lastModifiedBy>
  <revision>13</revision>
  <lastPrinted>2021-01-06T16:10:00.0000000Z</lastPrinted>
  <dcterms:created xsi:type="dcterms:W3CDTF">2020-08-12T18:59:00.0000000Z</dcterms:created>
  <dcterms:modified xsi:type="dcterms:W3CDTF">2022-05-19T16:05:37.0011671Z</dcterms:modified>
</coreProperties>
</file>