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04799965" w14:paraId="3E2643B7" w14:textId="77777777">
        <w:trPr>
          <w:trHeight w:val="579"/>
        </w:trPr>
        <w:tc>
          <w:tcPr>
            <w:tcW w:w="10299" w:type="dxa"/>
            <w:tcMar/>
          </w:tcPr>
          <w:p w:rsidRPr="00D5188C" w:rsidR="00D5188C" w:rsidP="00D5188C" w:rsidRDefault="00D5188C" w14:paraId="5DEFCD58" w14:textId="77777777">
            <w:pPr>
              <w:spacing w:before="100" w:beforeAutospacing="1" w:after="100" w:afterAutospacing="1"/>
              <w:rPr>
                <w:rFonts w:cs="Century Gothic Light"/>
                <w:color w:val="09223F"/>
              </w:rPr>
            </w:pPr>
            <w:r w:rsidRPr="00D5188C">
              <w:rPr>
                <w:rFonts w:cs="Century Gothic Light"/>
                <w:color w:val="09223F"/>
              </w:rPr>
              <w:t>Terry James ("Jim") Lee advises clients in estate planning, private wealth law, tax and business law, international matters, and real estate and commercial transactions. He also counsels business founders and their families on matters of family governance, privacy, and issues of especial importance to high-profile and ultra-high net worth families and individuals.</w:t>
            </w:r>
          </w:p>
          <w:p w:rsidRPr="00D5188C" w:rsidR="00D5188C" w:rsidP="00D5188C" w:rsidRDefault="00D5188C" w14:paraId="53A5886D" w14:textId="77777777">
            <w:pPr>
              <w:spacing w:before="100" w:beforeAutospacing="1" w:after="100" w:afterAutospacing="1"/>
              <w:rPr>
                <w:rFonts w:cs="Century Gothic Light"/>
                <w:color w:val="09223F"/>
              </w:rPr>
            </w:pPr>
            <w:r w:rsidRPr="00D5188C">
              <w:rPr>
                <w:rFonts w:cs="Century Gothic Light"/>
                <w:color w:val="09223F"/>
              </w:rPr>
              <w:t xml:space="preserve">Jim leads our </w:t>
            </w:r>
            <w:r w:rsidRPr="00D5188C">
              <w:rPr>
                <w:rFonts w:cs="Century Gothic Light"/>
                <w:i/>
                <w:iCs/>
                <w:color w:val="09223F"/>
              </w:rPr>
              <w:t>family office and private client attorneys</w:t>
            </w:r>
            <w:r w:rsidRPr="00D5188C">
              <w:rPr>
                <w:rFonts w:cs="Century Gothic Light"/>
                <w:color w:val="09223F"/>
              </w:rPr>
              <w:t xml:space="preserve">, a specialized group of advisors providing multidisciplinary resources and bespoke solutions for sensitive and pressing family concerns, values-based wealth transfer, and business succession. Leveraging his background in business, economics, and accounting, he assists clients with the structuring and implementation of trusts (including grantor trusts, such as IDGTs, GRATs, and QPRTs), family offices, private trust companies, family limited partnerships, LLCs, corporations, and other sophisticated tax and investment vehicles and techniques. </w:t>
            </w:r>
          </w:p>
          <w:p w:rsidRPr="00D5188C" w:rsidR="00D5188C" w:rsidP="00D5188C" w:rsidRDefault="00D5188C" w14:paraId="106FA72D" w14:textId="77777777">
            <w:pPr>
              <w:spacing w:before="100" w:beforeAutospacing="1" w:after="100" w:afterAutospacing="1"/>
              <w:rPr>
                <w:rFonts w:cs="Century Gothic Light"/>
                <w:color w:val="09223F"/>
              </w:rPr>
            </w:pPr>
            <w:r w:rsidRPr="00D5188C">
              <w:rPr>
                <w:rFonts w:cs="Century Gothic Light"/>
                <w:color w:val="09223F"/>
              </w:rPr>
              <w:t xml:space="preserve">A testament to his abilities, Jim has a referral-only, concierge practice. He has developed a reputation for being an inventive, outside-the-box problem-solver, and for being fiercely loyal to his clients. This client-oriented approach means Jim designs estate and business plans to meet the needs of each family’s personal vision. As an example, trusts and business succession plans can be customized to provide incentives to beneficiaries and successors, such as children and grandchildren, to become productive and contributing members of society. Often known as </w:t>
            </w:r>
            <w:r w:rsidRPr="00D5188C">
              <w:rPr>
                <w:rFonts w:cs="Century Gothic Light"/>
                <w:i/>
                <w:iCs/>
                <w:color w:val="09223F"/>
              </w:rPr>
              <w:t>the family’s lawyer,</w:t>
            </w:r>
            <w:r w:rsidRPr="00D5188C">
              <w:rPr>
                <w:rFonts w:cs="Century Gothic Light"/>
                <w:color w:val="09223F"/>
              </w:rPr>
              <w:t xml:space="preserve"> Jim develops long-term relationships that help promote continuity from generation to generation, while respecting individual thought and new perspectives.</w:t>
            </w:r>
          </w:p>
          <w:p w:rsidRPr="00D5188C" w:rsidR="00D5188C" w:rsidP="00D5188C" w:rsidRDefault="00D5188C" w14:paraId="266D1A34" w14:textId="77777777">
            <w:pPr>
              <w:spacing w:before="100" w:beforeAutospacing="1" w:after="100" w:afterAutospacing="1"/>
              <w:rPr>
                <w:rFonts w:cs="Century Gothic Light"/>
                <w:color w:val="09223F"/>
              </w:rPr>
            </w:pPr>
            <w:r w:rsidRPr="00D5188C">
              <w:rPr>
                <w:rFonts w:cs="Century Gothic Light"/>
                <w:color w:val="09223F"/>
              </w:rPr>
              <w:t>Throughout his career, Jim has also advised clients on planned giving methods, including establishing charitable remainder and lead trusts, private foundations, public charities, and other tax-exempt organizations. Coming full circle, he advises trustees and executors on their fiduciary responsibilities and tax implications in the administration and distribution of trusts and probate estates.</w:t>
            </w:r>
          </w:p>
          <w:p w:rsidRPr="00D5188C" w:rsidR="00D5188C" w:rsidP="00D5188C" w:rsidRDefault="00D5188C" w14:paraId="429300DA" w14:textId="77777777">
            <w:pPr>
              <w:spacing w:before="100" w:beforeAutospacing="1" w:after="100" w:afterAutospacing="1"/>
              <w:rPr>
                <w:rFonts w:cs="Century Gothic Light"/>
                <w:color w:val="09223F"/>
              </w:rPr>
            </w:pPr>
            <w:r w:rsidRPr="00D5188C">
              <w:rPr>
                <w:rFonts w:cs="Century Gothic Light"/>
                <w:color w:val="09223F"/>
              </w:rPr>
              <w:t xml:space="preserve">Jim is fluent in Spanish, and many years ago, while living in a foreign country, he witnessed firsthand the impact attorneys can have helping others with their legal and familial goals and </w:t>
            </w:r>
            <w:r w:rsidRPr="00D5188C">
              <w:rPr>
                <w:rFonts w:cs="Century Gothic Light"/>
                <w:color w:val="09223F"/>
              </w:rPr>
              <w:lastRenderedPageBreak/>
              <w:t>objectives. He cherishes opportunities to help people in his role as an analytical thinker, writer, and advocate.</w:t>
            </w:r>
          </w:p>
          <w:p w:rsidRPr="00D5188C" w:rsidR="00D5188C" w:rsidP="00D5188C" w:rsidRDefault="00D5188C" w14:paraId="1C947B5F" w14:textId="77777777">
            <w:pPr>
              <w:spacing w:before="100" w:beforeAutospacing="1" w:after="100" w:afterAutospacing="1"/>
              <w:rPr>
                <w:rFonts w:cs="Century Gothic Light"/>
                <w:color w:val="09223F"/>
              </w:rPr>
            </w:pPr>
            <w:r w:rsidRPr="00D5188C">
              <w:rPr>
                <w:rFonts w:cs="Century Gothic Light"/>
                <w:color w:val="09223F"/>
              </w:rPr>
              <w:t>Jim enjoys time with his family, composing music, and experiencing other cultures and languages. For seven years he performed as a member of the Phoenix Boys Choir, entertaining and touring throughout the United States and abroad. “Because of those early eye-opening experiences, the desire to meet and appreciate other people and their customs and beliefs,” he says, “has never quite left me. When a guest in another country, I prefer not only to visit but also to interact with its people. They then become a part of you, and you become an ambassador of both your home country and that part of the world you have come to know. Phoenix, Arizona is my base camp.”</w:t>
            </w:r>
          </w:p>
          <w:p w:rsidR="00D5188C" w:rsidP="00D5188C" w:rsidRDefault="00D5188C" w14:paraId="6C54BCCC" w14:textId="77777777">
            <w:pPr>
              <w:spacing w:before="100" w:beforeAutospacing="1" w:after="100" w:afterAutospacing="1"/>
              <w:rPr>
                <w:rFonts w:cs="Century Gothic Light"/>
                <w:color w:val="09223F"/>
              </w:rPr>
            </w:pPr>
            <w:r w:rsidRPr="00D5188C">
              <w:rPr>
                <w:rFonts w:cs="Century Gothic Light"/>
                <w:color w:val="09223F"/>
              </w:rPr>
              <w:t>Married with six now-adult children, Jim once saw himself as “the roadie” and sound engineer for his kids’ mobile DJ business—a business Jim too once had back in high school. You might have found him playing at schools, weddings, and private events. His go-to song? Elvis Presley’s “Can’t Help Falling in Love.”</w:t>
            </w:r>
          </w:p>
          <w:p w:rsidRPr="003779A7" w:rsidR="008700A0" w:rsidP="00D5188C" w:rsidRDefault="00EF3365" w14:paraId="39C10D41" w14:textId="09DBE13D">
            <w:pPr>
              <w:spacing w:before="100" w:beforeAutospacing="1" w:after="100" w:afterAutospacing="1"/>
              <w:rPr>
                <w:rFonts w:cs="Century Gothic Light"/>
                <w:color w:val="09223F"/>
              </w:rPr>
            </w:pPr>
            <w:r>
              <w:rPr>
                <w:rFonts w:cs="Century Gothic Light"/>
                <w:color w:val="09223F"/>
              </w:rPr>
              <w:t>Jim</w:t>
            </w:r>
            <w:r w:rsidRPr="00EF3365">
              <w:rPr>
                <w:rFonts w:cs="Century Gothic Light"/>
                <w:color w:val="09223F"/>
              </w:rPr>
              <w:t xml:space="preserve"> is a fellow of the American College of Trust and Estate Counsel (ACTEC), a group of peer-elected trust and estate attorneys spanning the U.S. and abroad.</w:t>
            </w:r>
            <w:r w:rsidR="0026740E">
              <w:rPr>
                <w:rFonts w:cs="Century Gothic Light"/>
                <w:color w:val="09223F"/>
              </w:rPr>
              <w:t xml:space="preserve"> </w:t>
            </w:r>
            <w:r w:rsidRPr="0026740E" w:rsidR="0026740E">
              <w:rPr>
                <w:rFonts w:cs="Century Gothic Light"/>
                <w:color w:val="09223F"/>
              </w:rPr>
              <w:t>He is also a Certified Specialist</w:t>
            </w:r>
            <w:r w:rsidR="00144FDF">
              <w:rPr>
                <w:rFonts w:cs="Century Gothic Light"/>
                <w:color w:val="09223F"/>
              </w:rPr>
              <w:t xml:space="preserve"> in trusts and estates</w:t>
            </w:r>
            <w:r w:rsidRPr="0026740E" w:rsidR="0026740E">
              <w:rPr>
                <w:rFonts w:cs="Century Gothic Light"/>
                <w:color w:val="09223F"/>
              </w:rPr>
              <w:t xml:space="preserve"> through the State Bar of Arizona.</w:t>
            </w:r>
          </w:p>
        </w:tc>
      </w:tr>
      <w:tr w:rsidR="008700A0" w:rsidTr="04799965"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04799965"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EF3365" w:rsidR="00EF3365" w:rsidP="00EF3365" w:rsidRDefault="00EF3365" w14:paraId="651A868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F3365">
              <w:rPr>
                <w:rFonts w:ascii="Century Gothic Light" w:hAnsi="Century Gothic Light" w:cs="Century Gothic Light"/>
                <w:color w:val="09223F"/>
                <w:sz w:val="22"/>
                <w:szCs w:val="22"/>
              </w:rPr>
              <w:t>J.D., with honors, Brigham Young University, J. Reuben Clark Law School</w:t>
            </w:r>
          </w:p>
          <w:p w:rsidRPr="00EF3365" w:rsidR="00EF3365" w:rsidP="00EF3365" w:rsidRDefault="00EF3365" w14:paraId="45A6D14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F3365">
              <w:rPr>
                <w:rFonts w:ascii="Century Gothic Light" w:hAnsi="Century Gothic Light" w:cs="Century Gothic Light"/>
                <w:color w:val="09223F"/>
                <w:sz w:val="22"/>
                <w:szCs w:val="22"/>
              </w:rPr>
              <w:t>B.S., Business Management, Brigham Young University</w:t>
            </w:r>
          </w:p>
          <w:p w:rsidRPr="00EF3365" w:rsidR="00EF3365" w:rsidP="00EF3365" w:rsidRDefault="00EF3365" w14:paraId="2BB75A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F3365">
              <w:rPr>
                <w:rFonts w:ascii="Century Gothic Light" w:hAnsi="Century Gothic Light" w:cs="Century Gothic Light"/>
                <w:color w:val="09223F"/>
                <w:sz w:val="22"/>
                <w:szCs w:val="22"/>
              </w:rPr>
              <w:t>Top business school graduate in entrepreneurship, business composite minor (Accounting and Economics), and minor in Spanish</w:t>
            </w:r>
          </w:p>
          <w:p w:rsidRPr="00EF3365" w:rsidR="00EF3365" w:rsidP="00EF3365" w:rsidRDefault="00EF3365" w14:paraId="342415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F3365">
              <w:rPr>
                <w:rFonts w:ascii="Century Gothic Light" w:hAnsi="Century Gothic Light" w:cs="Century Gothic Light"/>
                <w:i/>
                <w:iCs/>
                <w:color w:val="09223F"/>
                <w:sz w:val="22"/>
                <w:szCs w:val="22"/>
              </w:rPr>
              <w:t>Brigham Young University Law Review,</w:t>
            </w:r>
            <w:r w:rsidRPr="00EF3365">
              <w:rPr>
                <w:rFonts w:ascii="Century Gothic Light" w:hAnsi="Century Gothic Light" w:cs="Century Gothic Light"/>
                <w:color w:val="09223F"/>
                <w:sz w:val="22"/>
                <w:szCs w:val="22"/>
              </w:rPr>
              <w:t xml:space="preserve"> Editorial Board, 1995-1996; Member, 1994-1996</w:t>
            </w:r>
          </w:p>
          <w:p w:rsidRPr="00551687" w:rsidR="00AB20C4" w:rsidP="00EF3365" w:rsidRDefault="00EF3365" w14:paraId="3BF85D19" w14:textId="6765992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F3365">
              <w:rPr>
                <w:rFonts w:ascii="Century Gothic Light" w:hAnsi="Century Gothic Light" w:cs="Century Gothic Light"/>
                <w:color w:val="09223F"/>
                <w:sz w:val="22"/>
                <w:szCs w:val="22"/>
              </w:rPr>
              <w:t>Extern, Honorable J. Kenneth Mangum, Superior Court of Arizona, 1994</w:t>
            </w:r>
          </w:p>
        </w:tc>
      </w:tr>
      <w:tr w:rsidR="00DE4410" w:rsidTr="04799965"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04799965"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6317B" w:rsidTr="0036724A" w14:paraId="2FD63DE2" w14:textId="77777777">
              <w:trPr>
                <w:trHeight w:val="195"/>
              </w:trPr>
              <w:tc>
                <w:tcPr>
                  <w:tcW w:w="5036" w:type="dxa"/>
                </w:tcPr>
                <w:p w:rsidR="00B306A1" w:rsidP="00D5188C" w:rsidRDefault="00EF3365" w14:paraId="0139E932" w14:textId="49596C31">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Finance</w:t>
                  </w:r>
                </w:p>
                <w:p w:rsidR="00EF0408" w:rsidP="00D5188C" w:rsidRDefault="00EF0408" w14:paraId="06986B79" w14:textId="141A3CDC">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p w:rsidR="00EF3365" w:rsidP="00D5188C" w:rsidRDefault="00EF3365" w14:paraId="5134A0F5" w14:textId="576FED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Planning</w:t>
                  </w:r>
                </w:p>
                <w:p w:rsidRPr="00EF0408" w:rsidR="00EF3365" w:rsidP="00D5188C" w:rsidRDefault="00EF3365" w14:paraId="4CAF19DE" w14:textId="05B1C0FE">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Nonprofit and Tax-Exempt Organizations</w:t>
                  </w:r>
                </w:p>
              </w:tc>
              <w:tc>
                <w:tcPr>
                  <w:tcW w:w="5037" w:type="dxa"/>
                </w:tcPr>
                <w:p w:rsidR="00B306A1" w:rsidP="00D5188C" w:rsidRDefault="00EF3365" w14:paraId="315274C7"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Private Client and Wealth Law</w:t>
                  </w:r>
                </w:p>
                <w:p w:rsidR="00EF3365" w:rsidP="00D5188C" w:rsidRDefault="00EF3365" w14:paraId="61B8636E"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Tax Law</w:t>
                  </w:r>
                </w:p>
                <w:p w:rsidRPr="00D01099" w:rsidR="00EF3365" w:rsidP="00D5188C" w:rsidRDefault="00EF3365" w14:paraId="22A85BCB" w14:textId="36F134E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4533D0" w:rsidTr="04799965" w14:paraId="731970D6" w14:textId="77777777">
        <w:trPr>
          <w:trHeight w:val="288"/>
        </w:trPr>
        <w:tc>
          <w:tcPr>
            <w:tcW w:w="10299" w:type="dxa"/>
            <w:tcMar/>
          </w:tcPr>
          <w:p w:rsidRPr="008F5DD7" w:rsidR="004533D0" w:rsidP="00996259" w:rsidRDefault="004533D0" w14:paraId="1485FBCC" w14:textId="77777777">
            <w:pPr>
              <w:pStyle w:val="BasicParagraph"/>
              <w:rPr>
                <w:rFonts w:ascii="Century Gothic Light" w:hAnsi="Century Gothic Light" w:cs="Century Gothic Light"/>
                <w:caps/>
                <w:color w:val="F5821F"/>
                <w:szCs w:val="28"/>
              </w:rPr>
            </w:pPr>
          </w:p>
        </w:tc>
      </w:tr>
      <w:tr w:rsidR="005430CB" w:rsidTr="04799965" w14:paraId="7551DB5D" w14:textId="77777777">
        <w:trPr>
          <w:trHeight w:val="288"/>
        </w:trPr>
        <w:tc>
          <w:tcPr>
            <w:tcW w:w="10299" w:type="dxa"/>
            <w:tcMar/>
          </w:tcPr>
          <w:p w:rsidRPr="00996259" w:rsidR="005430CB" w:rsidP="005430CB" w:rsidRDefault="005430CB" w14:paraId="2A26305B" w14:textId="08663B6F">
            <w:pPr>
              <w:pStyle w:val="BasicParagraph"/>
              <w:rPr>
                <w:rFonts w:ascii="Century Gothic Light" w:hAnsi="Century Gothic Light" w:cs="Century Gothic Light"/>
                <w:caps/>
                <w:color w:val="F5821F"/>
                <w:sz w:val="28"/>
                <w:szCs w:val="32"/>
              </w:rPr>
            </w:pPr>
            <w:r w:rsidRPr="04799965" w:rsidR="04799965">
              <w:rPr>
                <w:rFonts w:ascii="Century Gothic Light" w:hAnsi="Century Gothic Light" w:cs="Century Gothic Light"/>
                <w:caps w:val="1"/>
                <w:color w:val="F5821F"/>
                <w:sz w:val="28"/>
                <w:szCs w:val="28"/>
              </w:rPr>
              <w:t>AWARDS AND HONORS</w:t>
            </w:r>
          </w:p>
          <w:p w:rsidR="04799965" w:rsidP="04799965" w:rsidRDefault="04799965" w14:paraId="411C1145" w14:textId="0A294F57">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04799965" w:rsidR="04799965">
              <w:rPr>
                <w:rFonts w:ascii="Century Gothic Light" w:hAnsi="Century Gothic Light" w:cs="Century Gothic Light"/>
                <w:i w:val="1"/>
                <w:iCs w:val="1"/>
                <w:color w:val="0C2340" w:themeColor="accent4" w:themeTint="FF" w:themeShade="FF"/>
                <w:sz w:val="22"/>
                <w:szCs w:val="22"/>
              </w:rPr>
              <w:t>Chambers HNW, Leading High Net Worth Advisors, 2016-2022</w:t>
            </w:r>
          </w:p>
          <w:p w:rsidR="04799965" w:rsidP="04799965" w:rsidRDefault="04799965" w14:paraId="0633D9D9" w14:textId="2BF6C5F5">
            <w:pPr>
              <w:pStyle w:val="ListParagraph"/>
              <w:numPr>
                <w:ilvl w:val="0"/>
                <w:numId w:val="1"/>
              </w:numPr>
              <w:rPr>
                <w:rFonts w:ascii="Century Gothic Light" w:hAnsi="Century Gothic Light" w:eastAsia="Century Gothic Light" w:cs="Century Gothic Light"/>
                <w:color w:val="0C2340" w:themeColor="accent4" w:themeTint="FF" w:themeShade="FF"/>
                <w:sz w:val="22"/>
                <w:szCs w:val="22"/>
              </w:rPr>
            </w:pPr>
            <w:r w:rsidRPr="04799965" w:rsidR="04799965">
              <w:rPr>
                <w:color w:val="0C2340" w:themeColor="accent4" w:themeTint="FF" w:themeShade="FF"/>
              </w:rPr>
              <w:t>Southwest Super Lawyers®, Estate Planning and Probate, 2008, 2010-2018, 2022</w:t>
            </w:r>
          </w:p>
          <w:p w:rsidRPr="00EF3365" w:rsidR="0026740E" w:rsidP="04799965" w:rsidRDefault="0026740E" w14:paraId="09BA9C7A" w14:textId="77777777">
            <w:pPr>
              <w:pStyle w:val="BasicParagraph"/>
              <w:numPr>
                <w:ilvl w:val="0"/>
                <w:numId w:val="1"/>
              </w:numPr>
              <w:suppressAutoHyphens/>
              <w:spacing w:line="240" w:lineRule="auto"/>
              <w:rPr>
                <w:rFonts w:ascii="Century Gothic Light" w:hAnsi="Century Gothic Light" w:cs="Century Gothic Light"/>
                <w:color w:val="0C2340" w:themeColor="accent4" w:themeTint="FF" w:themeShade="FF"/>
                <w:sz w:val="22"/>
                <w:szCs w:val="22"/>
              </w:rPr>
            </w:pPr>
            <w:r w:rsidRPr="04799965" w:rsidR="04799965">
              <w:rPr>
                <w:rFonts w:ascii="Century Gothic Light" w:hAnsi="Century Gothic Light" w:cs="Century Gothic Light"/>
                <w:i w:val="1"/>
                <w:iCs w:val="1"/>
                <w:color w:val="0C2340" w:themeColor="accent4" w:themeTint="FF" w:themeShade="FF"/>
                <w:sz w:val="22"/>
                <w:szCs w:val="22"/>
              </w:rPr>
              <w:t>Best Lawyers in America</w:t>
            </w:r>
            <w:r w:rsidRPr="04799965" w:rsidR="04799965">
              <w:rPr>
                <w:rFonts w:ascii="Century Gothic Light" w:hAnsi="Century Gothic Light" w:cs="Century Gothic Light"/>
                <w:color w:val="0C2340" w:themeColor="accent4" w:themeTint="FF" w:themeShade="FF"/>
                <w:sz w:val="22"/>
                <w:szCs w:val="22"/>
                <w:vertAlign w:val="superscript"/>
              </w:rPr>
              <w:t>®</w:t>
            </w:r>
            <w:r w:rsidRPr="04799965" w:rsidR="04799965">
              <w:rPr>
                <w:rFonts w:ascii="Century Gothic Light" w:hAnsi="Century Gothic Light" w:cs="Century Gothic Light"/>
                <w:i w:val="1"/>
                <w:iCs w:val="1"/>
                <w:color w:val="0C2340" w:themeColor="accent4" w:themeTint="FF" w:themeShade="FF"/>
                <w:sz w:val="22"/>
                <w:szCs w:val="22"/>
              </w:rPr>
              <w:t>,</w:t>
            </w:r>
            <w:r w:rsidRPr="04799965" w:rsidR="04799965">
              <w:rPr>
                <w:rFonts w:ascii="Century Gothic Light" w:hAnsi="Century Gothic Light" w:cs="Century Gothic Light"/>
                <w:color w:val="0C2340" w:themeColor="accent4" w:themeTint="FF" w:themeShade="FF"/>
                <w:sz w:val="22"/>
                <w:szCs w:val="22"/>
              </w:rPr>
              <w:t xml:space="preserve"> Lawyer of the Year, Trusts and Estates, 2017</w:t>
            </w:r>
            <w:r w:rsidRPr="04799965" w:rsidR="04799965">
              <w:rPr>
                <w:rFonts w:ascii="Century Gothic Light" w:hAnsi="Century Gothic Light" w:cs="Century Gothic Light"/>
                <w:color w:val="0C2340" w:themeColor="accent4" w:themeTint="FF" w:themeShade="FF"/>
                <w:sz w:val="22"/>
                <w:szCs w:val="22"/>
              </w:rPr>
              <w:t>, 2021</w:t>
            </w:r>
          </w:p>
          <w:p w:rsidRPr="00EF3365" w:rsidR="00B13FBF" w:rsidP="04799965" w:rsidRDefault="00B13FBF" w14:paraId="237E2146" w14:textId="77777777">
            <w:pPr>
              <w:pStyle w:val="BasicParagraph"/>
              <w:numPr>
                <w:ilvl w:val="0"/>
                <w:numId w:val="1"/>
              </w:numPr>
              <w:suppressAutoHyphens/>
              <w:spacing w:line="240" w:lineRule="auto"/>
              <w:rPr>
                <w:rFonts w:ascii="Century Gothic Light" w:hAnsi="Century Gothic Light" w:cs="Century Gothic Light"/>
                <w:color w:val="0C2340" w:themeColor="accent4" w:themeTint="FF" w:themeShade="FF"/>
                <w:sz w:val="22"/>
                <w:szCs w:val="22"/>
              </w:rPr>
            </w:pPr>
            <w:r w:rsidRPr="04799965" w:rsidR="04799965">
              <w:rPr>
                <w:rFonts w:ascii="Century Gothic Light" w:hAnsi="Century Gothic Light" w:cs="Century Gothic Light"/>
                <w:i w:val="1"/>
                <w:iCs w:val="1"/>
                <w:color w:val="0C2340" w:themeColor="accent4" w:themeTint="FF" w:themeShade="FF"/>
                <w:sz w:val="22"/>
                <w:szCs w:val="22"/>
              </w:rPr>
              <w:t>Best Lawyers in America</w:t>
            </w:r>
            <w:r w:rsidRPr="04799965" w:rsidR="04799965">
              <w:rPr>
                <w:rFonts w:ascii="Century Gothic Light" w:hAnsi="Century Gothic Light" w:cs="Century Gothic Light"/>
                <w:color w:val="0C2340" w:themeColor="accent4" w:themeTint="FF" w:themeShade="FF"/>
                <w:sz w:val="22"/>
                <w:szCs w:val="22"/>
                <w:vertAlign w:val="superscript"/>
              </w:rPr>
              <w:t>®</w:t>
            </w:r>
            <w:r w:rsidRPr="04799965" w:rsidR="04799965">
              <w:rPr>
                <w:rFonts w:ascii="Century Gothic Light" w:hAnsi="Century Gothic Light" w:cs="Century Gothic Light"/>
                <w:i w:val="1"/>
                <w:iCs w:val="1"/>
                <w:color w:val="0C2340" w:themeColor="accent4" w:themeTint="FF" w:themeShade="FF"/>
                <w:sz w:val="22"/>
                <w:szCs w:val="22"/>
              </w:rPr>
              <w:t>,</w:t>
            </w:r>
            <w:r w:rsidRPr="04799965" w:rsidR="04799965">
              <w:rPr>
                <w:rFonts w:ascii="Century Gothic Light" w:hAnsi="Century Gothic Light" w:cs="Century Gothic Light"/>
                <w:color w:val="0C2340" w:themeColor="accent4" w:themeTint="FF" w:themeShade="FF"/>
                <w:sz w:val="22"/>
                <w:szCs w:val="22"/>
              </w:rPr>
              <w:t xml:space="preserve"> Tax Law, Trusts and Estates, 2010-202</w:t>
            </w:r>
            <w:r w:rsidRPr="04799965" w:rsidR="04799965">
              <w:rPr>
                <w:rFonts w:ascii="Century Gothic Light" w:hAnsi="Century Gothic Light" w:cs="Century Gothic Light"/>
                <w:color w:val="0C2340" w:themeColor="accent4" w:themeTint="FF" w:themeShade="FF"/>
                <w:sz w:val="22"/>
                <w:szCs w:val="22"/>
              </w:rPr>
              <w:t>1</w:t>
            </w:r>
          </w:p>
          <w:p w:rsidR="00EF3365" w:rsidP="04799965" w:rsidRDefault="00EF3365" w14:paraId="2267B953" w14:textId="77777777">
            <w:pPr>
              <w:pStyle w:val="BasicParagraph"/>
              <w:numPr>
                <w:ilvl w:val="0"/>
                <w:numId w:val="1"/>
              </w:numPr>
              <w:suppressAutoHyphens/>
              <w:spacing w:line="240" w:lineRule="auto"/>
              <w:rPr>
                <w:rFonts w:ascii="Century Gothic Light" w:hAnsi="Century Gothic Light" w:cs="Century Gothic Light"/>
                <w:color w:val="0C2340" w:themeColor="accent4" w:themeTint="FF" w:themeShade="FF"/>
                <w:sz w:val="22"/>
                <w:szCs w:val="22"/>
              </w:rPr>
            </w:pPr>
            <w:r w:rsidRPr="04799965" w:rsidR="04799965">
              <w:rPr>
                <w:rFonts w:ascii="Century Gothic Light" w:hAnsi="Century Gothic Light" w:cs="Century Gothic Light"/>
                <w:color w:val="0C2340" w:themeColor="accent4" w:themeTint="FF" w:themeShade="FF"/>
                <w:sz w:val="22"/>
                <w:szCs w:val="22"/>
              </w:rPr>
              <w:t xml:space="preserve">Arizona's Finest Lawyers, Regular Member, admitted as of 2011 </w:t>
            </w:r>
          </w:p>
          <w:p w:rsidRPr="005430CB" w:rsidR="005430CB" w:rsidP="04799965" w:rsidRDefault="008A6430" w14:paraId="0EABF139" w14:textId="0DB2E0D3">
            <w:pPr>
              <w:pStyle w:val="BasicParagraph"/>
              <w:numPr>
                <w:ilvl w:val="0"/>
                <w:numId w:val="1"/>
              </w:numPr>
              <w:suppressAutoHyphens/>
              <w:spacing w:line="240" w:lineRule="auto"/>
              <w:rPr>
                <w:rFonts w:ascii="Century Gothic Light" w:hAnsi="Century Gothic Light" w:cs="Century Gothic Light"/>
                <w:color w:val="0C2340" w:themeColor="accent4" w:themeTint="FF" w:themeShade="FF"/>
                <w:sz w:val="22"/>
                <w:szCs w:val="22"/>
              </w:rPr>
            </w:pPr>
            <w:r w:rsidRPr="04799965" w:rsidR="04799965">
              <w:rPr>
                <w:rFonts w:ascii="Century Gothic Light" w:hAnsi="Century Gothic Light" w:cs="Century Gothic Light"/>
                <w:color w:val="0C2340" w:themeColor="accent4" w:themeTint="FF" w:themeShade="FF"/>
                <w:sz w:val="22"/>
                <w:szCs w:val="22"/>
              </w:rPr>
              <w:t>AV</w:t>
            </w:r>
            <w:r w:rsidRPr="04799965" w:rsidR="04799965">
              <w:rPr>
                <w:rFonts w:ascii="Century Gothic Light" w:hAnsi="Century Gothic Light" w:cs="Century Gothic Light"/>
                <w:color w:val="0C2340" w:themeColor="accent4" w:themeTint="FF" w:themeShade="FF"/>
                <w:sz w:val="22"/>
                <w:szCs w:val="22"/>
                <w:vertAlign w:val="superscript"/>
              </w:rPr>
              <w:t>®</w:t>
            </w:r>
            <w:r w:rsidRPr="04799965" w:rsidR="04799965">
              <w:rPr>
                <w:rFonts w:ascii="Century Gothic Light" w:hAnsi="Century Gothic Light" w:cs="Century Gothic Light"/>
                <w:color w:val="0C2340" w:themeColor="accent4" w:themeTint="FF" w:themeShade="FF"/>
                <w:sz w:val="22"/>
                <w:szCs w:val="22"/>
              </w:rPr>
              <w:t xml:space="preserve"> Preeminent™ Peer Review Rated (the highest rating available), by Martindale-Hubbell</w:t>
            </w:r>
          </w:p>
        </w:tc>
      </w:tr>
      <w:tr w:rsidR="00D01099" w:rsidTr="04799965" w14:paraId="71177174" w14:textId="77777777">
        <w:trPr>
          <w:trHeight w:val="288"/>
        </w:trPr>
        <w:tc>
          <w:tcPr>
            <w:tcW w:w="10299" w:type="dxa"/>
            <w:tcMar/>
          </w:tcPr>
          <w:p w:rsidRPr="008F5DD7" w:rsidR="00D01099" w:rsidP="00996259" w:rsidRDefault="00D01099" w14:paraId="6AF917EB" w14:textId="77777777">
            <w:pPr>
              <w:pStyle w:val="BasicParagraph"/>
              <w:rPr>
                <w:rFonts w:ascii="Century Gothic Light" w:hAnsi="Century Gothic Light" w:cs="Century Gothic Light"/>
                <w:caps/>
                <w:color w:val="F5821F"/>
                <w:szCs w:val="28"/>
              </w:rPr>
            </w:pPr>
          </w:p>
        </w:tc>
      </w:tr>
      <w:tr w:rsidR="0002353F" w:rsidTr="04799965" w14:paraId="4BBBFC4C" w14:textId="77777777">
        <w:trPr>
          <w:trHeight w:val="288"/>
        </w:trPr>
        <w:tc>
          <w:tcPr>
            <w:tcW w:w="10299" w:type="dxa"/>
            <w:tcMar/>
          </w:tcPr>
          <w:p w:rsidRPr="00996259" w:rsidR="0002353F" w:rsidP="0002353F" w:rsidRDefault="009F7119" w14:paraId="3D2A96DB" w14:textId="770C7713">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articles and presentations</w:t>
            </w:r>
          </w:p>
          <w:p w:rsidRPr="00131D47" w:rsidR="00131D47" w:rsidP="00C3745E" w:rsidRDefault="00131D47" w14:paraId="2B915247" w14:textId="276B7C5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Co-</w:t>
            </w:r>
            <w:r w:rsidR="00F0261F">
              <w:rPr>
                <w:rFonts w:ascii="Century Gothic Light" w:hAnsi="Century Gothic Light" w:cs="Century Gothic Light"/>
                <w:color w:val="09223F"/>
                <w:sz w:val="22"/>
                <w:szCs w:val="22"/>
              </w:rPr>
              <w:t>a</w:t>
            </w:r>
            <w:r w:rsidRPr="00131D47">
              <w:rPr>
                <w:rFonts w:ascii="Century Gothic Light" w:hAnsi="Century Gothic Light" w:cs="Century Gothic Light"/>
                <w:color w:val="09223F"/>
                <w:sz w:val="22"/>
                <w:szCs w:val="22"/>
              </w:rPr>
              <w:t>uthor, "Arizona Estate Planning: Income, Estate, Gift, and GST Taxation," </w:t>
            </w:r>
            <w:r w:rsidRPr="00131D47">
              <w:rPr>
                <w:rFonts w:ascii="Century Gothic Light" w:hAnsi="Century Gothic Light" w:cs="Century Gothic Light"/>
                <w:i/>
                <w:iCs/>
                <w:color w:val="09223F"/>
                <w:sz w:val="22"/>
                <w:szCs w:val="22"/>
              </w:rPr>
              <w:t>DT Publishing Company, Vols. 1 and 2 supplements, </w:t>
            </w:r>
            <w:r w:rsidRPr="00131D47">
              <w:rPr>
                <w:rFonts w:ascii="Century Gothic Light" w:hAnsi="Century Gothic Light" w:cs="Century Gothic Light"/>
                <w:color w:val="09223F"/>
                <w:sz w:val="22"/>
                <w:szCs w:val="22"/>
              </w:rPr>
              <w:t>2020</w:t>
            </w:r>
          </w:p>
          <w:p w:rsidRPr="00131D47" w:rsidR="00131D47" w:rsidP="00C3745E" w:rsidRDefault="00131D47" w14:paraId="6B1233D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Presenter, “Qualified Small Business Stock,” AZCLE Entity Selection and Issues for the Estate Planner, sponsored by the State Bar of Arizona, October 13, 2020</w:t>
            </w:r>
          </w:p>
          <w:p w:rsidRPr="00986D38" w:rsidR="00986D38" w:rsidP="00986D38" w:rsidRDefault="009E0D01" w14:paraId="12A967E8" w14:textId="4A545E05">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sidR="00986D38">
              <w:rPr>
                <w:rFonts w:ascii="Century Gothic Light" w:hAnsi="Century Gothic Light" w:cs="Century Gothic Light"/>
                <w:color w:val="09223F"/>
                <w:sz w:val="22"/>
                <w:szCs w:val="22"/>
              </w:rPr>
              <w:t>uthor, "Recent Tax Developments - 2020 April - Refresher on Benefits Under The CARES Act," Fennemore Client Alert, May 4, 2020</w:t>
            </w:r>
          </w:p>
          <w:p w:rsidRPr="00986D38" w:rsidR="00986D38" w:rsidP="00986D38" w:rsidRDefault="00986D38" w14:paraId="0803DA5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Co-author, "IRS and the Arizona Department of Revenue Extend Tax Filing Deadlines to July 15," Fennemore Client Alert, March 26, 2020</w:t>
            </w:r>
          </w:p>
          <w:p w:rsidRPr="00986D38" w:rsidR="00986D38" w:rsidP="00986D38" w:rsidRDefault="009E0D01" w14:paraId="393A7D71" w14:textId="6F5D897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sidR="00986D38">
              <w:rPr>
                <w:rFonts w:ascii="Century Gothic Light" w:hAnsi="Century Gothic Light" w:cs="Century Gothic Light"/>
                <w:color w:val="09223F"/>
                <w:sz w:val="22"/>
                <w:szCs w:val="22"/>
              </w:rPr>
              <w:t xml:space="preserve"> "Recent Tax Developments - 2020 January - The SECURE Act (Individuals)," Fennemore Client Alert, January 9, 2020</w:t>
            </w:r>
          </w:p>
          <w:p w:rsidRPr="00986D38" w:rsidR="00986D38" w:rsidP="00986D38" w:rsidRDefault="009E0D01" w14:paraId="13EB22AF" w14:textId="3C61D6D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"End of Year Tax Saving Moves - 2019," Fennemore Client Alert, December 30, 2019</w:t>
            </w:r>
          </w:p>
          <w:p w:rsidRPr="00986D38" w:rsidR="00986D38" w:rsidP="00986D38" w:rsidRDefault="009E0D01" w14:paraId="3E9E43C1" w14:textId="78B18AE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"Recent Tax Developments - December 2019," Fennemore Client Alert, December 23, 2019</w:t>
            </w:r>
          </w:p>
          <w:p w:rsidRPr="00986D38" w:rsidR="00986D38" w:rsidP="00986D38" w:rsidRDefault="009E0D01" w14:paraId="589A1515" w14:textId="6425B7C0">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"Recent Tax Developments - 2019 April," Fennemore Client Alert, April 16, 2019</w:t>
            </w:r>
          </w:p>
          <w:p w:rsidRPr="00986D38" w:rsidR="00986D38" w:rsidP="00986D38" w:rsidRDefault="00986D38" w14:paraId="2A27BBE5" w14:textId="2C42E5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Co-</w:t>
            </w:r>
            <w:r w:rsidR="00F0261F">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 xml:space="preserve">uthor, "Arizona Estate Planning: Income, Estate, Gift, and GST Taxation," </w:t>
            </w:r>
            <w:r w:rsidRPr="00986D38">
              <w:rPr>
                <w:rFonts w:ascii="Century Gothic Light" w:hAnsi="Century Gothic Light" w:cs="Century Gothic Light"/>
                <w:i/>
                <w:iCs/>
                <w:color w:val="09223F"/>
                <w:sz w:val="22"/>
                <w:szCs w:val="22"/>
              </w:rPr>
              <w:t>DT Publishing Company, Vol. 1 supplement and new Vol. 2</w:t>
            </w:r>
            <w:r w:rsidRPr="00986D38">
              <w:rPr>
                <w:rFonts w:ascii="Century Gothic Light" w:hAnsi="Century Gothic Light" w:cs="Century Gothic Light"/>
                <w:color w:val="09223F"/>
                <w:sz w:val="22"/>
                <w:szCs w:val="22"/>
              </w:rPr>
              <w:t>, 2019</w:t>
            </w:r>
          </w:p>
          <w:p w:rsidRPr="00986D38" w:rsidR="00986D38" w:rsidP="00986D38" w:rsidRDefault="00986D38" w14:paraId="515FFD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 xml:space="preserve">Co-author, "End-of-year Business Advice for Northern Nevada Businesses (Opinion)," </w:t>
            </w:r>
            <w:r w:rsidRPr="00986D38">
              <w:rPr>
                <w:rFonts w:ascii="Century Gothic Light" w:hAnsi="Century Gothic Light" w:cs="Century Gothic Light"/>
                <w:i/>
                <w:iCs/>
                <w:color w:val="09223F"/>
                <w:sz w:val="22"/>
                <w:szCs w:val="22"/>
              </w:rPr>
              <w:t>Northern Nevada Business View,</w:t>
            </w:r>
            <w:r w:rsidRPr="00986D38">
              <w:rPr>
                <w:rFonts w:ascii="Century Gothic Light" w:hAnsi="Century Gothic Light" w:cs="Century Gothic Light"/>
                <w:color w:val="09223F"/>
                <w:sz w:val="22"/>
                <w:szCs w:val="22"/>
              </w:rPr>
              <w:t xml:space="preserve"> December 11, 2018</w:t>
            </w:r>
          </w:p>
          <w:p w:rsidRPr="00986D38" w:rsidR="00986D38" w:rsidP="00986D38" w:rsidRDefault="009E0D01" w14:paraId="6A9D8713" w14:textId="63CA9902">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"Recent Tax Developments - 2018 August," Fennemore Client Alert, August 8, 2018</w:t>
            </w:r>
          </w:p>
          <w:p w:rsidRPr="00986D38" w:rsidR="00986D38" w:rsidP="00986D38" w:rsidRDefault="009E0D01" w14:paraId="3853C828" w14:textId="7A90ED6F">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"Recent Tax Developments - 2018 July," Fennemore Client Alert, July 2, 2018</w:t>
            </w:r>
          </w:p>
          <w:p w:rsidRPr="00986D38" w:rsidR="00986D38" w:rsidP="00986D38" w:rsidRDefault="00986D38" w14:paraId="013281B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Interview, "The New Partnership Audit Rules and Why They Are So Important For Estate Planners," ACTEC, June 12, 2018</w:t>
            </w:r>
          </w:p>
          <w:p w:rsidRPr="00986D38" w:rsidR="00986D38" w:rsidP="00986D38" w:rsidRDefault="00986D38" w14:paraId="09A74BD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"Digital Assets," The Arizona Fiduciaries Association 2018 Spring Conference, April 20, 2018</w:t>
            </w:r>
          </w:p>
          <w:p w:rsidRPr="00986D38" w:rsidR="00986D38" w:rsidP="00986D38" w:rsidRDefault="00986D38" w14:paraId="7215EC7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Co-author, "Recent Tax Developments - 2018 January," Fennemore Client Alert, January 23, 2018</w:t>
            </w:r>
          </w:p>
          <w:p w:rsidRPr="00986D38" w:rsidR="00986D38" w:rsidP="00986D38" w:rsidRDefault="00986D38" w14:paraId="4E1EA49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 xml:space="preserve">Speaker, "Partnership Audit Rules," Summer Meeting, ACTEC, Chicago, Illinois, 2018 </w:t>
            </w:r>
          </w:p>
          <w:p w:rsidRPr="00986D38" w:rsidR="00986D38" w:rsidP="00986D38" w:rsidRDefault="009E0D01" w14:paraId="089DB617" w14:textId="67DF455C">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w:t>
            </w:r>
            <w:r w:rsidRPr="00986D38" w:rsidR="00986D38">
              <w:rPr>
                <w:rFonts w:ascii="Century Gothic Light" w:hAnsi="Century Gothic Light" w:cs="Century Gothic Light"/>
                <w:color w:val="09223F"/>
                <w:sz w:val="22"/>
                <w:szCs w:val="22"/>
              </w:rPr>
              <w:t>Tax Planning Checklists - 2017 End of Year," Fennemore Client Alert, October 16, 2017</w:t>
            </w:r>
          </w:p>
          <w:p w:rsidRPr="00986D38" w:rsidR="00986D38" w:rsidP="00986D38" w:rsidRDefault="009E0D01" w14:paraId="255F336D" w14:textId="47E3981F">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"Recent Tax Developments - 2017 April," Fennemore Client Alert, April 12, 2017</w:t>
            </w:r>
          </w:p>
          <w:p w:rsidRPr="00986D38" w:rsidR="00986D38" w:rsidP="00986D38" w:rsidRDefault="00986D38" w14:paraId="504490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2017 Women's Financial Forum, Arizona Bank and Trust, 2017</w:t>
            </w:r>
          </w:p>
          <w:p w:rsidRPr="00986D38" w:rsidR="00986D38" w:rsidP="00986D38" w:rsidRDefault="00986D38" w14:paraId="71637A0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"Hot Topics in Contemporary Estate Planning (including Ron Aucutt)," sponsored by the State Bar of Arizona, 2017</w:t>
            </w:r>
          </w:p>
          <w:p w:rsidRPr="00986D38" w:rsidR="00986D38" w:rsidP="00986D38" w:rsidRDefault="00986D38" w14:paraId="104E5A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lastRenderedPageBreak/>
              <w:t>Speaker and Panelist, various trusts, estates, and tax seminars, National Video Broadcasts, NBI, 2016-present</w:t>
            </w:r>
          </w:p>
          <w:p w:rsidRPr="00986D38" w:rsidR="00986D38" w:rsidP="00986D38" w:rsidRDefault="009E0D01" w14:paraId="28ED24DC" w14:textId="6CB41525">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"Tax Planning Checklists - 2016 End of Year," Fennemore Client Alert, November 4, 2016</w:t>
            </w:r>
          </w:p>
          <w:p w:rsidRPr="00986D38" w:rsidR="00986D38" w:rsidP="00986D38" w:rsidRDefault="009E0D01" w14:paraId="2CABD08F" w14:textId="28FC5825">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"Recent Tax Developments - October 2016," Fennemore Client Alert, October 26, 2016</w:t>
            </w:r>
          </w:p>
          <w:p w:rsidRPr="00986D38" w:rsidR="00986D38" w:rsidP="00986D38" w:rsidRDefault="009E0D01" w14:paraId="566CC01C" w14:textId="4A68382C">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"Valuation Discounts: Going, Going,..." Fennemore Client Alert, September 19, 2016</w:t>
            </w:r>
          </w:p>
          <w:p w:rsidRPr="00986D38" w:rsidR="00986D38" w:rsidP="00986D38" w:rsidRDefault="00986D38" w14:paraId="2512DA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Moderator, and Seminar Chair, "Probate and Estate Law, and Elder and Mental Health Care Law: A Multi-Disciplinary Approach (Practical Estate Planning and Administration; Estate Planning with Corporations, LLCs, and Partnerships; Elder and Special Needs Planning for the Modest and the Affluent; and Digital Assets)," CLE by the Sea, Coronado, California, sponsored by the State Bar of Arizona, July 2016</w:t>
            </w:r>
          </w:p>
          <w:p w:rsidRPr="00986D38" w:rsidR="00986D38" w:rsidP="00986D38" w:rsidRDefault="00986D38" w14:paraId="5F65670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"Partnership Tax Allocations, and Implications of the Repeal of TEFRA," Business Planning Committee, Summer Meeting, ACTEC, Boston, Massachusetts, 2016</w:t>
            </w:r>
          </w:p>
          <w:p w:rsidRPr="00986D38" w:rsidR="00986D38" w:rsidP="00986D38" w:rsidRDefault="00986D38" w14:paraId="502E427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"Section 642(c) Charitable Deduction and Tracing," Fiduciary Income Tax Committee, Annual Meeting, ACTEC, Las Vegas, Nevada, 2016</w:t>
            </w:r>
          </w:p>
          <w:p w:rsidRPr="00986D38" w:rsidR="00986D38" w:rsidP="00986D38" w:rsidRDefault="00986D38" w14:paraId="19B8E803" w14:textId="7717CD6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Co-</w:t>
            </w:r>
            <w:r w:rsidR="00F0261F">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 xml:space="preserve">uthor, "Best Practices for Structuring Trusts and Estates," </w:t>
            </w:r>
            <w:r w:rsidRPr="00986D38">
              <w:rPr>
                <w:rFonts w:ascii="Century Gothic Light" w:hAnsi="Century Gothic Light" w:cs="Century Gothic Light"/>
                <w:i/>
                <w:iCs/>
                <w:color w:val="09223F"/>
                <w:sz w:val="22"/>
                <w:szCs w:val="22"/>
              </w:rPr>
              <w:t>Thomson Reuters (Aspatore)</w:t>
            </w:r>
            <w:r w:rsidRPr="00986D38">
              <w:rPr>
                <w:rFonts w:ascii="Century Gothic Light" w:hAnsi="Century Gothic Light" w:cs="Century Gothic Light"/>
                <w:color w:val="09223F"/>
                <w:sz w:val="22"/>
                <w:szCs w:val="22"/>
              </w:rPr>
              <w:t>, 2016 edition</w:t>
            </w:r>
          </w:p>
          <w:p w:rsidRPr="00986D38" w:rsidR="00986D38" w:rsidP="00986D38" w:rsidRDefault="00986D38" w14:paraId="65A97C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Co-author, "Recent Tax Developments - January 2016," Fennemore Client Alert, January 14, 2016</w:t>
            </w:r>
          </w:p>
          <w:p w:rsidRPr="00986D38" w:rsidR="00986D38" w:rsidP="00986D38" w:rsidRDefault="009E0D01" w14:paraId="321D0A2A" w14:textId="0B8FBF16">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"Surface Transportation and Veterans Health Care Choice Improvement Act of 2015," Fennemore Client Alert, August 12, 2015</w:t>
            </w:r>
          </w:p>
          <w:p w:rsidRPr="00986D38" w:rsidR="00986D38" w:rsidP="00986D38" w:rsidRDefault="009E0D01" w14:paraId="1F1BC347" w14:textId="04048EA4">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"2015 Second Quarter Tax Developments," Fennemore Client Alert, July 20, 2015</w:t>
            </w:r>
          </w:p>
          <w:p w:rsidRPr="00986D38" w:rsidR="00986D38" w:rsidP="00986D38" w:rsidRDefault="009E0D01" w14:paraId="071F425A" w14:textId="77310C62">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"Tax Developments For First Quarter 2015," April 29, 2015</w:t>
            </w:r>
          </w:p>
          <w:p w:rsidRPr="00986D38" w:rsidR="00986D38" w:rsidP="00986D38" w:rsidRDefault="009E0D01" w14:paraId="55413C14" w14:textId="4ECC5895">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"Families of Those With Disabilities: New 'Able Accounts'," Fennemore Client Alert, April 1, 2015</w:t>
            </w:r>
          </w:p>
          <w:p w:rsidRPr="00986D38" w:rsidR="00986D38" w:rsidP="00986D38" w:rsidRDefault="009E0D01" w14:paraId="42AAACBF" w14:textId="11B49C6B">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"Tax Developments in February 2015," Fennemore Client Alert, March 1, 2015</w:t>
            </w:r>
          </w:p>
          <w:p w:rsidRPr="00986D38" w:rsidR="00986D38" w:rsidP="00986D38" w:rsidRDefault="009E0D01" w14:paraId="28B2014A" w14:textId="5A58D0E8">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"Tax Developments in 2015," Fennemore Client Alert, January 12, 2015</w:t>
            </w:r>
          </w:p>
          <w:p w:rsidRPr="00986D38" w:rsidR="00986D38" w:rsidP="00986D38" w:rsidRDefault="00986D38" w14:paraId="4FE84EEC" w14:textId="425E9BE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Co-</w:t>
            </w:r>
            <w:r w:rsidR="00F0261F">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 xml:space="preserve">uthor, "Arizona Estate Planning: Income, Estate, Gift, and GST Taxation," </w:t>
            </w:r>
            <w:r w:rsidRPr="00986D38">
              <w:rPr>
                <w:rFonts w:ascii="Century Gothic Light" w:hAnsi="Century Gothic Light" w:cs="Century Gothic Light"/>
                <w:i/>
                <w:iCs/>
                <w:color w:val="09223F"/>
                <w:sz w:val="22"/>
                <w:szCs w:val="22"/>
              </w:rPr>
              <w:t>DT Publishing Company, Vol. 1, 2015 supplement</w:t>
            </w:r>
          </w:p>
          <w:p w:rsidRPr="00986D38" w:rsidR="00986D38" w:rsidP="00986D38" w:rsidRDefault="00986D38" w14:paraId="1E2881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"Sophisticated Estate Planning: GRATs, Sales to Grantor Trusts, CRTs, CLTs, Asset Allocations, Fiscal Year Planning, and DNI," Valley Estate Planners, 2015</w:t>
            </w:r>
          </w:p>
          <w:p w:rsidRPr="00986D38" w:rsidR="00986D38" w:rsidP="00986D38" w:rsidRDefault="009E0D01" w14:paraId="1308C662" w14:textId="395D170E">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"Tax Developments in 2014," Fennemore Client Alert, December 15, 2014</w:t>
            </w:r>
          </w:p>
          <w:p w:rsidRPr="00986D38" w:rsidR="00986D38" w:rsidP="00986D38" w:rsidRDefault="009E0D01" w14:paraId="52AF4B75" w14:textId="13B3793F">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Contributing</w:t>
            </w:r>
            <w:r w:rsidR="00F0261F">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uthor</w:t>
            </w:r>
            <w:r>
              <w:rPr>
                <w:rFonts w:ascii="Century Gothic Light" w:hAnsi="Century Gothic Light" w:cs="Century Gothic Light"/>
                <w:color w:val="09223F"/>
                <w:sz w:val="22"/>
                <w:szCs w:val="22"/>
              </w:rPr>
              <w:t>,</w:t>
            </w:r>
            <w:r w:rsidRPr="00986D38">
              <w:rPr>
                <w:rFonts w:ascii="Century Gothic Light" w:hAnsi="Century Gothic Light" w:cs="Century Gothic Light"/>
                <w:color w:val="09223F"/>
                <w:sz w:val="22"/>
                <w:szCs w:val="22"/>
              </w:rPr>
              <w:t xml:space="preserve"> </w:t>
            </w:r>
            <w:r w:rsidRPr="00986D38" w:rsidR="00986D38">
              <w:rPr>
                <w:rFonts w:ascii="Century Gothic Light" w:hAnsi="Century Gothic Light" w:cs="Century Gothic Light"/>
                <w:color w:val="09223F"/>
                <w:sz w:val="22"/>
                <w:szCs w:val="22"/>
              </w:rPr>
              <w:t>"Tax, Business and Estate Planning," Fennemore Client Alert, December 15, 2014</w:t>
            </w:r>
          </w:p>
          <w:p w:rsidRPr="00986D38" w:rsidR="00986D38" w:rsidP="00986D38" w:rsidRDefault="00986D38" w14:paraId="29EEA7A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"Estate Planning for the Novice," sponsored by KJZZ/K-BACH Radio, 2014</w:t>
            </w:r>
          </w:p>
          <w:p w:rsidRPr="00986D38" w:rsidR="00986D38" w:rsidP="00986D38" w:rsidRDefault="00986D38" w14:paraId="43A1F3C7" w14:textId="7EB388C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Co-</w:t>
            </w:r>
            <w:r w:rsidR="00F0261F">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 xml:space="preserve">uthor, "Arizona Estate Planning: Income, Estate, Gift, and GST Taxation," </w:t>
            </w:r>
            <w:r w:rsidRPr="00986D38">
              <w:rPr>
                <w:rFonts w:ascii="Century Gothic Light" w:hAnsi="Century Gothic Light" w:cs="Century Gothic Light"/>
                <w:i/>
                <w:iCs/>
                <w:color w:val="09223F"/>
                <w:sz w:val="22"/>
                <w:szCs w:val="22"/>
              </w:rPr>
              <w:t>DT Publishing Company, Vol. 1, 2014 supplement</w:t>
            </w:r>
          </w:p>
          <w:p w:rsidRPr="00986D38" w:rsidR="00986D38" w:rsidP="00986D38" w:rsidRDefault="00986D38" w14:paraId="3711F1C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lastRenderedPageBreak/>
              <w:t>Speaker and Seminar Chair, "Advanced Estate Planning and Trust/Probate Administration," CLE by the Sea, Coronado, California, sponsored by the State Bar of Arizona, 2014</w:t>
            </w:r>
          </w:p>
          <w:p w:rsidRPr="00986D38" w:rsidR="00986D38" w:rsidP="00986D38" w:rsidRDefault="00986D38" w14:paraId="4675735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Seminar Chair and Moderator, "Effect of U.S. v. Windsor on DOMA in Estate Planning, Update on T&amp;E Litigation and Legislation (Federal and Arizona), Resolving Probate and Trust Disputes Without Protracted Litigation, and the Continuing Evolution of the Arizona Probate Rules and Procedures," sponsored by the State Bar of Arizona, 2014</w:t>
            </w:r>
          </w:p>
          <w:p w:rsidRPr="00986D38" w:rsidR="00986D38" w:rsidP="00986D38" w:rsidRDefault="00986D38" w14:paraId="22D71A8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Seminar Co-Chair and Moderator, "Unraveling Estate Planning Issues after Windsor (DOMA) and Other Advanced Planning Topics," State Bar of Arizona, Probate &amp; Trust Law Section, 2013</w:t>
            </w:r>
          </w:p>
          <w:p w:rsidRPr="00986D38" w:rsidR="00986D38" w:rsidP="00986D38" w:rsidRDefault="00986D38" w14:paraId="3121E7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"Understanding Consequences of Transfers of Title in Unfamiliar Jurisdictions," Western Region Meeting, ACTEC, Half Moon Bay (San Francisco), California, 2013</w:t>
            </w:r>
          </w:p>
          <w:p w:rsidRPr="00986D38" w:rsidR="00986D38" w:rsidP="00986D38" w:rsidRDefault="00986D38" w14:paraId="7CBF56C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"Wealth Transfer Tax Legislation, Estate Planning Techniques, and Current Developments," CLE by the Sea, Coronado, California, sponsored by the State Bar of Arizona, 2013</w:t>
            </w:r>
          </w:p>
          <w:p w:rsidRPr="00986D38" w:rsidR="00986D38" w:rsidP="00986D38" w:rsidRDefault="00986D38" w14:paraId="53724F2A" w14:textId="761AFA2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Co-</w:t>
            </w:r>
            <w:r w:rsidR="00F0261F">
              <w:rPr>
                <w:rFonts w:ascii="Century Gothic Light" w:hAnsi="Century Gothic Light" w:cs="Century Gothic Light"/>
                <w:color w:val="09223F"/>
                <w:sz w:val="22"/>
                <w:szCs w:val="22"/>
              </w:rPr>
              <w:t>a</w:t>
            </w:r>
            <w:r w:rsidRPr="00986D38">
              <w:rPr>
                <w:rFonts w:ascii="Century Gothic Light" w:hAnsi="Century Gothic Light" w:cs="Century Gothic Light"/>
                <w:color w:val="09223F"/>
                <w:sz w:val="22"/>
                <w:szCs w:val="22"/>
              </w:rPr>
              <w:t xml:space="preserve">uthor, "Arizona Estate Planning: Income, Estate, Gift, and GST Taxation," </w:t>
            </w:r>
            <w:r w:rsidRPr="00986D38">
              <w:rPr>
                <w:rFonts w:ascii="Century Gothic Light" w:hAnsi="Century Gothic Light" w:cs="Century Gothic Light"/>
                <w:i/>
                <w:iCs/>
                <w:color w:val="09223F"/>
                <w:sz w:val="22"/>
                <w:szCs w:val="22"/>
              </w:rPr>
              <w:t>DT Publishing Company, Vol. 1, 2012</w:t>
            </w:r>
          </w:p>
          <w:p w:rsidRPr="00986D38" w:rsidR="00986D38" w:rsidP="00986D38" w:rsidRDefault="00986D38" w14:paraId="6353E3C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Seminar Co-Chair, "Arizona Probate Practice in 2012 - ¡Cuidado!", Probate &amp; Trust Law Section, Arizona State Bar Convention, 2012</w:t>
            </w:r>
          </w:p>
          <w:p w:rsidRPr="00986D38" w:rsidR="00986D38" w:rsidP="00986D38" w:rsidRDefault="00986D38" w14:paraId="2456749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"The Good, Bad and the Ugly in Decanting in Arizona," Arizona Community Foundation, Professional Advisory Board, 2012</w:t>
            </w:r>
          </w:p>
          <w:p w:rsidRPr="00986D38" w:rsidR="00986D38" w:rsidP="00986D38" w:rsidRDefault="00986D38" w14:paraId="23C3347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"Unexpected Complexity of Marital Deductions," National Teleconference, Lorman Education Services, 2012</w:t>
            </w:r>
          </w:p>
          <w:p w:rsidRPr="00986D38" w:rsidR="00986D38" w:rsidP="00986D38" w:rsidRDefault="00986D38" w14:paraId="12BFDBB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"Decanting (What now, pourover "trusts"?)," East Valley Estate Planning Council, 2012</w:t>
            </w:r>
          </w:p>
          <w:p w:rsidRPr="00986D38" w:rsidR="00986D38" w:rsidP="00986D38" w:rsidRDefault="00986D38" w14:paraId="655D07A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Seminar Chair and Moderator, “Advanced Probate and Trust,” State Bar of Arizona, Probate and Trust Law Section, 2011</w:t>
            </w:r>
          </w:p>
          <w:p w:rsidRPr="00986D38" w:rsidR="00986D38" w:rsidP="00986D38" w:rsidRDefault="00986D38" w14:paraId="3CFC258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 xml:space="preserve">Author, "Decant or Not Decant (in Arizona)?," </w:t>
            </w:r>
            <w:r w:rsidRPr="00986D38">
              <w:rPr>
                <w:rFonts w:ascii="Century Gothic Light" w:hAnsi="Century Gothic Light" w:cs="Century Gothic Light"/>
                <w:i/>
                <w:iCs/>
                <w:color w:val="09223F"/>
                <w:sz w:val="22"/>
                <w:szCs w:val="22"/>
              </w:rPr>
              <w:t>Probate and Trust Law Newsletter,</w:t>
            </w:r>
            <w:r w:rsidRPr="00986D38">
              <w:rPr>
                <w:rFonts w:ascii="Century Gothic Light" w:hAnsi="Century Gothic Light" w:cs="Century Gothic Light"/>
                <w:color w:val="09223F"/>
                <w:sz w:val="22"/>
                <w:szCs w:val="22"/>
              </w:rPr>
              <w:t xml:space="preserve"> State Bar of Arizona, 2011</w:t>
            </w:r>
          </w:p>
          <w:p w:rsidRPr="00986D38" w:rsidR="00986D38" w:rsidP="00986D38" w:rsidRDefault="00986D38" w14:paraId="30398AC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 xml:space="preserve">Author, "Marital Deduction Formula and GST Tax Severance Planning -- Income Tax Consequences," </w:t>
            </w:r>
            <w:r w:rsidRPr="00986D38">
              <w:rPr>
                <w:rFonts w:ascii="Century Gothic Light" w:hAnsi="Century Gothic Light" w:cs="Century Gothic Light"/>
                <w:i/>
                <w:iCs/>
                <w:color w:val="09223F"/>
                <w:sz w:val="22"/>
                <w:szCs w:val="22"/>
              </w:rPr>
              <w:t>Estate Planning, Thomson Reuters (Warren, Gorham &amp; Lamont)</w:t>
            </w:r>
            <w:r w:rsidRPr="00986D38">
              <w:rPr>
                <w:rFonts w:ascii="Century Gothic Light" w:hAnsi="Century Gothic Light" w:cs="Century Gothic Light"/>
                <w:color w:val="09223F"/>
                <w:sz w:val="22"/>
                <w:szCs w:val="22"/>
              </w:rPr>
              <w:t>, New York, Nov. 2010</w:t>
            </w:r>
          </w:p>
          <w:p w:rsidRPr="00986D38" w:rsidR="00986D38" w:rsidP="00986D38" w:rsidRDefault="00986D38" w14:paraId="2A8DFE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"Recent Developments and Hot Topics: Apportionment of Estate Taxes and Administrative Expenses," sponsored by the Jewish Community Foundation of Southern Arizona, 2010</w:t>
            </w:r>
          </w:p>
          <w:p w:rsidRPr="00986D38" w:rsidR="00986D38" w:rsidP="00986D38" w:rsidRDefault="00986D38" w14:paraId="2467CC9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"Decant or Not Decant? That Is the Question," Arizona State Bar Convention, 2010</w:t>
            </w:r>
          </w:p>
          <w:p w:rsidRPr="00986D38" w:rsidR="00986D38" w:rsidP="00986D38" w:rsidRDefault="00986D38" w14:paraId="3D214B0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"Important and Hot Estate Planning and Related Tax Planning Topics," State Bar of Arizona, Probate and Trust Law Section, 2009</w:t>
            </w:r>
          </w:p>
          <w:p w:rsidRPr="00986D38" w:rsidR="00986D38" w:rsidP="00986D38" w:rsidRDefault="00986D38" w14:paraId="4148E50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"Steeping Marital Deduction Bliss in Your GS Tea (Advanced Formula Planning)," Tucson Tax Study Group, 2009</w:t>
            </w:r>
          </w:p>
          <w:p w:rsidRPr="00986D38" w:rsidR="00986D38" w:rsidP="00986D38" w:rsidRDefault="00986D38" w14:paraId="2487E7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"Advanced Generation-Skipping Transfer Tax and Marital Deduction Planning," National Teleconference, NBI, 2009</w:t>
            </w:r>
          </w:p>
          <w:p w:rsidRPr="00986D38" w:rsidR="00986D38" w:rsidP="00986D38" w:rsidRDefault="00986D38" w14:paraId="0CC7552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"Drafting for the Arizona Trust Code," Maricopa County Bar Association, 2009</w:t>
            </w:r>
          </w:p>
          <w:p w:rsidRPr="00986D38" w:rsidR="00986D38" w:rsidP="00986D38" w:rsidRDefault="00986D38" w14:paraId="5619ED3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lastRenderedPageBreak/>
              <w:t>Speaker, "GSTT and Marital Deduction Formula Planning,” VEP, 2009</w:t>
            </w:r>
          </w:p>
          <w:p w:rsidRPr="00986D38" w:rsidR="00986D38" w:rsidP="00986D38" w:rsidRDefault="00986D38" w14:paraId="3BAD439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"New Trust Code and Probate Rules Take Effect: Are you Ready?" State Bar of Arizona, Elder Law and Mental Health Section, 2009</w:t>
            </w:r>
          </w:p>
          <w:p w:rsidRPr="00986D38" w:rsidR="00986D38" w:rsidP="00986D38" w:rsidRDefault="00986D38" w14:paraId="010713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"Arizona Trust Code," Maricopa County Bar Association, 2008</w:t>
            </w:r>
          </w:p>
          <w:p w:rsidRPr="00986D38" w:rsidR="00986D38" w:rsidP="00986D38" w:rsidRDefault="00986D38" w14:paraId="078059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"Trust and Estate Distributions: Income Tax Implications and Planning Alternatives," State Bar of Arizona, Taxation Section, 2008</w:t>
            </w:r>
          </w:p>
          <w:p w:rsidRPr="00986D38" w:rsidR="00986D38" w:rsidP="00986D38" w:rsidRDefault="00986D38" w14:paraId="62065DB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"Trust and Estate Income Taxation," Tucson Tax Study Group, 2007</w:t>
            </w:r>
          </w:p>
          <w:p w:rsidRPr="00986D38" w:rsidR="00986D38" w:rsidP="00986D38" w:rsidRDefault="00986D38" w14:paraId="2947316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"Income Taxation in Estate Planning," Valley Estate Planners, 2007</w:t>
            </w:r>
          </w:p>
          <w:p w:rsidRPr="00986D38" w:rsidR="00986D38" w:rsidP="00986D38" w:rsidRDefault="00986D38" w14:paraId="2B3F29D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Speaker, "Estate Planning and Subchapter J Issues," East Valley Estate Planning Council, 2006</w:t>
            </w:r>
          </w:p>
          <w:p w:rsidRPr="008A6430" w:rsidR="0002353F" w:rsidP="00986D38" w:rsidRDefault="00986D38" w14:paraId="708C26DE" w14:textId="3133F1E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86D38">
              <w:rPr>
                <w:rFonts w:ascii="Century Gothic Light" w:hAnsi="Century Gothic Light" w:cs="Century Gothic Light"/>
                <w:color w:val="09223F"/>
                <w:sz w:val="22"/>
                <w:szCs w:val="22"/>
              </w:rPr>
              <w:t>and various commercially sponsored lectures</w:t>
            </w:r>
          </w:p>
        </w:tc>
      </w:tr>
      <w:tr w:rsidR="0002353F" w:rsidTr="04799965"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EF3365" w:rsidTr="04799965" w14:paraId="7BA45ECE" w14:textId="77777777">
        <w:trPr>
          <w:trHeight w:val="288"/>
        </w:trPr>
        <w:tc>
          <w:tcPr>
            <w:tcW w:w="10299" w:type="dxa"/>
            <w:tcMar/>
          </w:tcPr>
          <w:p w:rsidRPr="00996259" w:rsidR="00EF3365" w:rsidP="00EF3365" w:rsidRDefault="00EF3365" w14:paraId="7170B642" w14:textId="617EE0E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131D47" w:rsidR="00131D47" w:rsidP="00131D47" w:rsidRDefault="00131D47" w14:paraId="012D761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Member, American Bar Association</w:t>
            </w:r>
          </w:p>
          <w:p w:rsidRPr="00131D47" w:rsidR="00131D47" w:rsidP="00131D47" w:rsidRDefault="00131D47" w14:paraId="4817654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Member, State Bar of Arizona</w:t>
            </w:r>
          </w:p>
          <w:p w:rsidRPr="00131D47" w:rsidR="00131D47" w:rsidP="00131D47" w:rsidRDefault="00131D47" w14:paraId="449565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Member, Utah State Bar</w:t>
            </w:r>
          </w:p>
          <w:p w:rsidRPr="00131D47" w:rsidR="00131D47" w:rsidP="00131D47" w:rsidRDefault="00131D47" w14:paraId="326B9AE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Member, Professional Advisory Board and Gift Acceptance Committee, Arizona Community Foundation</w:t>
            </w:r>
          </w:p>
          <w:p w:rsidRPr="00131D47" w:rsidR="00131D47" w:rsidP="00131D47" w:rsidRDefault="00131D47" w14:paraId="652395E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Trustee, Phoenix Boys Choir</w:t>
            </w:r>
          </w:p>
          <w:p w:rsidRPr="00131D47" w:rsidR="00131D47" w:rsidP="00131D47" w:rsidRDefault="00131D47" w14:paraId="213B431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Volunteer, in affiliation with local chapters of House of Refuge and Habitat for Humanity</w:t>
            </w:r>
          </w:p>
          <w:p w:rsidRPr="00131D47" w:rsidR="00131D47" w:rsidP="00131D47" w:rsidRDefault="00131D47" w14:paraId="7988D63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Fellow, The American College of Trust and Estate Counsel, ACTEC</w:t>
            </w:r>
          </w:p>
          <w:p w:rsidRPr="00131D47" w:rsidR="00131D47" w:rsidP="00131D47" w:rsidRDefault="00131D47" w14:paraId="118DE8A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Member, Fiduciary Income Tax Committee, Business Planning Committee, ACTEC</w:t>
            </w:r>
          </w:p>
          <w:p w:rsidRPr="00131D47" w:rsidR="00131D47" w:rsidP="00131D47" w:rsidRDefault="00131D47" w14:paraId="0C23E46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Inaugural Member, TGen Ambassadors, Translational Genomics Research Institute</w:t>
            </w:r>
          </w:p>
          <w:p w:rsidRPr="00131D47" w:rsidR="00131D47" w:rsidP="00131D47" w:rsidRDefault="00131D47" w14:paraId="57FF108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Member, Committee on Estate and Gift Taxes, Taxation Section, American Bar Association</w:t>
            </w:r>
          </w:p>
          <w:p w:rsidRPr="00131D47" w:rsidR="00131D47" w:rsidP="00131D47" w:rsidRDefault="00131D47" w14:paraId="6F2ABAB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Past Chair and Member, Estate and Trust Advisory Commission, State Bar of Arizona</w:t>
            </w:r>
          </w:p>
          <w:p w:rsidRPr="00131D47" w:rsidR="00131D47" w:rsidP="00131D47" w:rsidRDefault="00131D47" w14:paraId="554A52A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Past Chair, Professional Education Series Planning Committee, Arizona Community Foundation</w:t>
            </w:r>
          </w:p>
          <w:p w:rsidRPr="00131D47" w:rsidR="00131D47" w:rsidP="00131D47" w:rsidRDefault="00131D47" w14:paraId="1F52A04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Past Officer, Board of Directors, Ballet Arizona</w:t>
            </w:r>
          </w:p>
          <w:p w:rsidRPr="00131D47" w:rsidR="00131D47" w:rsidP="00131D47" w:rsidRDefault="00131D47" w14:paraId="3FDB66B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Past Chair, Executive Council, Probate and Trust Law Section, State Bar of Arizona</w:t>
            </w:r>
          </w:p>
          <w:p w:rsidRPr="00131D47" w:rsidR="00131D47" w:rsidP="00131D47" w:rsidRDefault="00131D47" w14:paraId="5F0020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Past Chair of the Planned Giving Committee, Past Executive Committee Member, Arthritis Foundation, Greater Southwest Chapter</w:t>
            </w:r>
          </w:p>
          <w:p w:rsidRPr="00131D47" w:rsidR="00131D47" w:rsidP="00131D47" w:rsidRDefault="00131D47" w14:paraId="22E4B93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Past Council Officer, Past Executive Board Member, Boy Scouts of America, Grand Canyon Council</w:t>
            </w:r>
          </w:p>
          <w:p w:rsidRPr="00131D47" w:rsidR="00131D47" w:rsidP="00131D47" w:rsidRDefault="00131D47" w14:paraId="3BA23B2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Past Member, Professional Advisory Committee, Jewish Community Foundation</w:t>
            </w:r>
          </w:p>
          <w:p w:rsidRPr="00131D47" w:rsidR="00131D47" w:rsidP="00131D47" w:rsidRDefault="00131D47" w14:paraId="59C384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Past President, Past Board Member, Valley Estate Planners</w:t>
            </w:r>
          </w:p>
          <w:p w:rsidRPr="00131D47" w:rsidR="00EF3365" w:rsidP="00131D47" w:rsidRDefault="00131D47" w14:paraId="006D495F" w14:textId="574F0EC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31D47">
              <w:rPr>
                <w:rFonts w:ascii="Century Gothic Light" w:hAnsi="Century Gothic Light" w:cs="Century Gothic Light"/>
                <w:color w:val="09223F"/>
                <w:sz w:val="22"/>
                <w:szCs w:val="22"/>
              </w:rPr>
              <w:t>Past President, Past Board Member, East Valley Estate Planning Council</w:t>
            </w:r>
          </w:p>
        </w:tc>
      </w:tr>
      <w:tr w:rsidR="00EF3365" w:rsidTr="04799965" w14:paraId="35CE1CAF" w14:textId="77777777">
        <w:trPr>
          <w:trHeight w:val="288"/>
        </w:trPr>
        <w:tc>
          <w:tcPr>
            <w:tcW w:w="10299" w:type="dxa"/>
            <w:tcMar/>
          </w:tcPr>
          <w:p w:rsidRPr="008F5DD7" w:rsidR="00EF3365" w:rsidP="00996259" w:rsidRDefault="00EF3365" w14:paraId="0CABCC6D" w14:textId="77777777">
            <w:pPr>
              <w:pStyle w:val="BasicParagraph"/>
              <w:rPr>
                <w:rFonts w:ascii="Century Gothic Light" w:hAnsi="Century Gothic Light" w:cs="Century Gothic Light"/>
                <w:caps/>
                <w:color w:val="F5821F"/>
                <w:szCs w:val="28"/>
              </w:rPr>
            </w:pPr>
          </w:p>
        </w:tc>
      </w:tr>
      <w:tr w:rsidR="00996259" w:rsidTr="04799965"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EF3365" w:rsidR="00EF3365" w:rsidP="00EF3365" w:rsidRDefault="00EF3365" w14:paraId="0211392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F3365">
              <w:rPr>
                <w:rFonts w:ascii="Century Gothic Light" w:hAnsi="Century Gothic Light" w:cs="Century Gothic Light"/>
                <w:color w:val="09223F"/>
                <w:sz w:val="22"/>
                <w:szCs w:val="22"/>
              </w:rPr>
              <w:t>Arizona</w:t>
            </w:r>
          </w:p>
          <w:p w:rsidRPr="00EF3365" w:rsidR="00EF3365" w:rsidP="00EF3365" w:rsidRDefault="00EF3365" w14:paraId="69CB1C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F3365">
              <w:rPr>
                <w:rFonts w:ascii="Century Gothic Light" w:hAnsi="Century Gothic Light" w:cs="Century Gothic Light"/>
                <w:color w:val="09223F"/>
                <w:sz w:val="22"/>
                <w:szCs w:val="22"/>
              </w:rPr>
              <w:t>Utah</w:t>
            </w:r>
          </w:p>
          <w:p w:rsidRPr="00EF3365" w:rsidR="00EF3365" w:rsidP="00EF3365" w:rsidRDefault="00EF3365" w14:paraId="3021CF6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F3365">
              <w:rPr>
                <w:rFonts w:ascii="Century Gothic Light" w:hAnsi="Century Gothic Light" w:cs="Century Gothic Light"/>
                <w:color w:val="09223F"/>
                <w:sz w:val="22"/>
                <w:szCs w:val="22"/>
              </w:rPr>
              <w:t>U.S. District Court, District of Arizona</w:t>
            </w:r>
          </w:p>
          <w:p w:rsidRPr="008A6430" w:rsidR="00AD3FAF" w:rsidP="00EF3365" w:rsidRDefault="00EF3365" w14:paraId="044073AE" w14:textId="1C1E4CF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F3365">
              <w:rPr>
                <w:rFonts w:ascii="Century Gothic Light" w:hAnsi="Century Gothic Light" w:cs="Century Gothic Light"/>
                <w:color w:val="09223F"/>
                <w:sz w:val="22"/>
                <w:szCs w:val="22"/>
              </w:rPr>
              <w:t>Trust and Estate Specialist (Board Certified, State Bar of Arizona)</w:t>
            </w:r>
          </w:p>
        </w:tc>
      </w:tr>
      <w:tr w:rsidR="00EF3365" w:rsidTr="04799965" w14:paraId="152588F2" w14:textId="77777777">
        <w:trPr>
          <w:trHeight w:val="195"/>
        </w:trPr>
        <w:tc>
          <w:tcPr>
            <w:tcW w:w="10299" w:type="dxa"/>
            <w:tcMar/>
          </w:tcPr>
          <w:p w:rsidRPr="00AC002C" w:rsidR="00EF3365" w:rsidP="00996259" w:rsidRDefault="00EF3365" w14:paraId="1B2FD5B0" w14:textId="77777777">
            <w:pPr>
              <w:pStyle w:val="BasicParagraph"/>
              <w:rPr>
                <w:rFonts w:ascii="Century Gothic Light" w:hAnsi="Century Gothic Light" w:cs="Century Gothic Light"/>
                <w:caps/>
                <w:color w:val="F5821F"/>
                <w:szCs w:val="28"/>
              </w:rPr>
            </w:pPr>
          </w:p>
        </w:tc>
      </w:tr>
      <w:tr w:rsidR="00EF3365" w:rsidTr="04799965" w14:paraId="75E7293A" w14:textId="77777777">
        <w:trPr>
          <w:trHeight w:val="195"/>
        </w:trPr>
        <w:tc>
          <w:tcPr>
            <w:tcW w:w="10299" w:type="dxa"/>
            <w:tcMar/>
          </w:tcPr>
          <w:p w:rsidRPr="00996259" w:rsidR="00EF3365" w:rsidP="00EF3365" w:rsidRDefault="00EF3365" w14:paraId="5A5C10CA" w14:textId="2B02CC52">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languages</w:t>
            </w:r>
          </w:p>
          <w:p w:rsidRPr="00EF3365" w:rsidR="00EF3365" w:rsidP="00EF3365" w:rsidRDefault="00EF3365" w14:paraId="18FCEEED" w14:textId="6B5709B6">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Spanish, Fluent</w:t>
            </w:r>
          </w:p>
          <w:p w:rsidRPr="00996259" w:rsidR="00EF3365" w:rsidP="00996259" w:rsidRDefault="00EF3365" w14:paraId="0BA28C25" w14:textId="77777777">
            <w:pPr>
              <w:pStyle w:val="BasicParagraph"/>
              <w:rPr>
                <w:rFonts w:ascii="Century Gothic Light" w:hAnsi="Century Gothic Light" w:cs="Century Gothic Light"/>
                <w:caps/>
                <w:color w:val="F5821F"/>
                <w:sz w:val="28"/>
                <w:szCs w:val="32"/>
              </w:rPr>
            </w:pP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16020" w:rsidP="008700A0" w:rsidRDefault="00716020" w14:paraId="349ED34F" w14:textId="77777777">
      <w:pPr>
        <w:spacing w:after="0" w:line="240" w:lineRule="auto"/>
      </w:pPr>
      <w:r>
        <w:separator/>
      </w:r>
    </w:p>
  </w:endnote>
  <w:endnote w:type="continuationSeparator" w:id="0">
    <w:p w:rsidR="00716020" w:rsidP="008700A0" w:rsidRDefault="00716020" w14:paraId="1B4FAAD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16020" w:rsidP="008700A0" w:rsidRDefault="00716020" w14:paraId="6B013070" w14:textId="77777777">
      <w:pPr>
        <w:spacing w:after="0" w:line="240" w:lineRule="auto"/>
      </w:pPr>
      <w:r>
        <w:separator/>
      </w:r>
    </w:p>
  </w:footnote>
  <w:footnote w:type="continuationSeparator" w:id="0">
    <w:p w:rsidR="00716020" w:rsidP="008700A0" w:rsidRDefault="00716020" w14:paraId="127A325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3B72ED76">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626C75FD">
          <wp:simplePos x="0" y="0"/>
          <wp:positionH relativeFrom="margin">
            <wp:posOffset>-457200</wp:posOffset>
          </wp:positionH>
          <wp:positionV relativeFrom="margin">
            <wp:posOffset>-467360</wp:posOffset>
          </wp:positionV>
          <wp:extent cx="7772357"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7"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44E1636"/>
    <w:multiLevelType w:val="multilevel"/>
    <w:tmpl w:val="B31CDF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9" w15:restartNumberingAfterBreak="0">
    <w:nsid w:val="53175D87"/>
    <w:multiLevelType w:val="multilevel"/>
    <w:tmpl w:val="A68E1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32A7050"/>
    <w:multiLevelType w:val="multilevel"/>
    <w:tmpl w:val="08D661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6"/>
  </w:num>
  <w:num w:numId="2">
    <w:abstractNumId w:val="7"/>
  </w:num>
  <w:num w:numId="3">
    <w:abstractNumId w:val="18"/>
  </w:num>
  <w:num w:numId="4">
    <w:abstractNumId w:val="5"/>
  </w:num>
  <w:num w:numId="5">
    <w:abstractNumId w:val="6"/>
  </w:num>
  <w:num w:numId="6">
    <w:abstractNumId w:val="23"/>
  </w:num>
  <w:num w:numId="7">
    <w:abstractNumId w:val="22"/>
  </w:num>
  <w:num w:numId="8">
    <w:abstractNumId w:val="17"/>
  </w:num>
  <w:num w:numId="9">
    <w:abstractNumId w:val="9"/>
  </w:num>
  <w:num w:numId="10">
    <w:abstractNumId w:val="14"/>
  </w:num>
  <w:num w:numId="11">
    <w:abstractNumId w:val="24"/>
  </w:num>
  <w:num w:numId="12">
    <w:abstractNumId w:val="10"/>
  </w:num>
  <w:num w:numId="13">
    <w:abstractNumId w:val="2"/>
  </w:num>
  <w:num w:numId="14">
    <w:abstractNumId w:val="28"/>
  </w:num>
  <w:num w:numId="15">
    <w:abstractNumId w:val="29"/>
  </w:num>
  <w:num w:numId="16">
    <w:abstractNumId w:val="15"/>
  </w:num>
  <w:num w:numId="17">
    <w:abstractNumId w:val="16"/>
  </w:num>
  <w:num w:numId="18">
    <w:abstractNumId w:val="1"/>
  </w:num>
  <w:num w:numId="19">
    <w:abstractNumId w:val="21"/>
  </w:num>
  <w:num w:numId="20">
    <w:abstractNumId w:val="25"/>
  </w:num>
  <w:num w:numId="21">
    <w:abstractNumId w:val="11"/>
  </w:num>
  <w:num w:numId="22">
    <w:abstractNumId w:val="30"/>
  </w:num>
  <w:num w:numId="23">
    <w:abstractNumId w:val="12"/>
  </w:num>
  <w:num w:numId="24">
    <w:abstractNumId w:val="20"/>
  </w:num>
  <w:num w:numId="25">
    <w:abstractNumId w:val="8"/>
  </w:num>
  <w:num w:numId="26">
    <w:abstractNumId w:val="13"/>
  </w:num>
  <w:num w:numId="27">
    <w:abstractNumId w:val="4"/>
  </w:num>
  <w:num w:numId="28">
    <w:abstractNumId w:val="0"/>
  </w:num>
  <w:num w:numId="29">
    <w:abstractNumId w:val="19"/>
  </w:num>
  <w:num w:numId="30">
    <w:abstractNumId w:val="27"/>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B29E6"/>
    <w:rsid w:val="000D2207"/>
    <w:rsid w:val="000E3ECF"/>
    <w:rsid w:val="000F6FAD"/>
    <w:rsid w:val="00100C31"/>
    <w:rsid w:val="001138EA"/>
    <w:rsid w:val="00124890"/>
    <w:rsid w:val="00131D47"/>
    <w:rsid w:val="00144FDF"/>
    <w:rsid w:val="0015232B"/>
    <w:rsid w:val="0019269A"/>
    <w:rsid w:val="001C6017"/>
    <w:rsid w:val="001C6685"/>
    <w:rsid w:val="001F1000"/>
    <w:rsid w:val="00216E51"/>
    <w:rsid w:val="00217188"/>
    <w:rsid w:val="0021738A"/>
    <w:rsid w:val="00242A28"/>
    <w:rsid w:val="002548B5"/>
    <w:rsid w:val="00266E0F"/>
    <w:rsid w:val="0026740E"/>
    <w:rsid w:val="00290ABD"/>
    <w:rsid w:val="00290F41"/>
    <w:rsid w:val="00295769"/>
    <w:rsid w:val="002A2E90"/>
    <w:rsid w:val="002D5A17"/>
    <w:rsid w:val="00312CFC"/>
    <w:rsid w:val="003203C6"/>
    <w:rsid w:val="0032458F"/>
    <w:rsid w:val="00325FC1"/>
    <w:rsid w:val="00332C98"/>
    <w:rsid w:val="00333AD5"/>
    <w:rsid w:val="00340AE6"/>
    <w:rsid w:val="00345563"/>
    <w:rsid w:val="00371E4C"/>
    <w:rsid w:val="003779A7"/>
    <w:rsid w:val="00383C77"/>
    <w:rsid w:val="0039208F"/>
    <w:rsid w:val="003D6259"/>
    <w:rsid w:val="0040406F"/>
    <w:rsid w:val="004315D5"/>
    <w:rsid w:val="004533D0"/>
    <w:rsid w:val="004B0FA7"/>
    <w:rsid w:val="00515DE9"/>
    <w:rsid w:val="00517E18"/>
    <w:rsid w:val="005430CB"/>
    <w:rsid w:val="005501CE"/>
    <w:rsid w:val="00551687"/>
    <w:rsid w:val="00566492"/>
    <w:rsid w:val="00587218"/>
    <w:rsid w:val="00590A25"/>
    <w:rsid w:val="005A05EE"/>
    <w:rsid w:val="005A0F4F"/>
    <w:rsid w:val="005B4C1E"/>
    <w:rsid w:val="005B62B8"/>
    <w:rsid w:val="005D3709"/>
    <w:rsid w:val="005D5640"/>
    <w:rsid w:val="005F080B"/>
    <w:rsid w:val="005F2A52"/>
    <w:rsid w:val="00617B93"/>
    <w:rsid w:val="00644C31"/>
    <w:rsid w:val="00655093"/>
    <w:rsid w:val="006C3477"/>
    <w:rsid w:val="0070505F"/>
    <w:rsid w:val="00716020"/>
    <w:rsid w:val="00733A23"/>
    <w:rsid w:val="007548A3"/>
    <w:rsid w:val="0076317B"/>
    <w:rsid w:val="00772ABB"/>
    <w:rsid w:val="00772C3A"/>
    <w:rsid w:val="00795E7E"/>
    <w:rsid w:val="007C384C"/>
    <w:rsid w:val="007D2922"/>
    <w:rsid w:val="007F5739"/>
    <w:rsid w:val="008317F6"/>
    <w:rsid w:val="00841578"/>
    <w:rsid w:val="0086010D"/>
    <w:rsid w:val="00863372"/>
    <w:rsid w:val="008700A0"/>
    <w:rsid w:val="00886858"/>
    <w:rsid w:val="008A29E8"/>
    <w:rsid w:val="008A6430"/>
    <w:rsid w:val="008B0E1C"/>
    <w:rsid w:val="008C27C0"/>
    <w:rsid w:val="008D168A"/>
    <w:rsid w:val="008D5FA8"/>
    <w:rsid w:val="008D6B2D"/>
    <w:rsid w:val="008E06BB"/>
    <w:rsid w:val="008E6056"/>
    <w:rsid w:val="008F5DD7"/>
    <w:rsid w:val="009067C3"/>
    <w:rsid w:val="00911A93"/>
    <w:rsid w:val="00920E7D"/>
    <w:rsid w:val="009366B8"/>
    <w:rsid w:val="00937844"/>
    <w:rsid w:val="00950ADB"/>
    <w:rsid w:val="00986D38"/>
    <w:rsid w:val="00996259"/>
    <w:rsid w:val="0099759E"/>
    <w:rsid w:val="009E0D01"/>
    <w:rsid w:val="009F59F7"/>
    <w:rsid w:val="009F7119"/>
    <w:rsid w:val="00A01755"/>
    <w:rsid w:val="00A0328B"/>
    <w:rsid w:val="00A10950"/>
    <w:rsid w:val="00A419C6"/>
    <w:rsid w:val="00A44AD9"/>
    <w:rsid w:val="00A46A51"/>
    <w:rsid w:val="00A51833"/>
    <w:rsid w:val="00A52F24"/>
    <w:rsid w:val="00A87D32"/>
    <w:rsid w:val="00AA6CBE"/>
    <w:rsid w:val="00AB20C4"/>
    <w:rsid w:val="00AC002C"/>
    <w:rsid w:val="00AC17A3"/>
    <w:rsid w:val="00AD3BB1"/>
    <w:rsid w:val="00AD3FAF"/>
    <w:rsid w:val="00AE1C23"/>
    <w:rsid w:val="00B1336D"/>
    <w:rsid w:val="00B13FBF"/>
    <w:rsid w:val="00B306A1"/>
    <w:rsid w:val="00B454E2"/>
    <w:rsid w:val="00B664FF"/>
    <w:rsid w:val="00B779C2"/>
    <w:rsid w:val="00B95D5D"/>
    <w:rsid w:val="00BA0567"/>
    <w:rsid w:val="00BA0C8B"/>
    <w:rsid w:val="00BA5277"/>
    <w:rsid w:val="00BC1370"/>
    <w:rsid w:val="00BC268B"/>
    <w:rsid w:val="00BE4483"/>
    <w:rsid w:val="00C15349"/>
    <w:rsid w:val="00C23A89"/>
    <w:rsid w:val="00C251B7"/>
    <w:rsid w:val="00C3111D"/>
    <w:rsid w:val="00C314DA"/>
    <w:rsid w:val="00C3745E"/>
    <w:rsid w:val="00C61BBC"/>
    <w:rsid w:val="00C727B6"/>
    <w:rsid w:val="00C815D4"/>
    <w:rsid w:val="00CC750D"/>
    <w:rsid w:val="00CD15B0"/>
    <w:rsid w:val="00CF5C24"/>
    <w:rsid w:val="00D01099"/>
    <w:rsid w:val="00D21AD2"/>
    <w:rsid w:val="00D23AE3"/>
    <w:rsid w:val="00D3611B"/>
    <w:rsid w:val="00D5188C"/>
    <w:rsid w:val="00DC046C"/>
    <w:rsid w:val="00DD3DB3"/>
    <w:rsid w:val="00DD7C9B"/>
    <w:rsid w:val="00DE4410"/>
    <w:rsid w:val="00DE6888"/>
    <w:rsid w:val="00E0643E"/>
    <w:rsid w:val="00E10978"/>
    <w:rsid w:val="00E4405C"/>
    <w:rsid w:val="00E51AB5"/>
    <w:rsid w:val="00ED2D47"/>
    <w:rsid w:val="00EE7F20"/>
    <w:rsid w:val="00EF0408"/>
    <w:rsid w:val="00EF3365"/>
    <w:rsid w:val="00F0261F"/>
    <w:rsid w:val="00F03F17"/>
    <w:rsid w:val="00F23DC3"/>
    <w:rsid w:val="00F2563B"/>
    <w:rsid w:val="00F405AA"/>
    <w:rsid w:val="00F87B62"/>
    <w:rsid w:val="00F93AF0"/>
    <w:rsid w:val="00FB06C0"/>
    <w:rsid w:val="00FC5E49"/>
    <w:rsid w:val="04799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892041416">
      <w:bodyDiv w:val="1"/>
      <w:marLeft w:val="0"/>
      <w:marRight w:val="0"/>
      <w:marTop w:val="0"/>
      <w:marBottom w:val="0"/>
      <w:divBdr>
        <w:top w:val="none" w:sz="0" w:space="0" w:color="auto"/>
        <w:left w:val="none" w:sz="0" w:space="0" w:color="auto"/>
        <w:bottom w:val="none" w:sz="0" w:space="0" w:color="auto"/>
        <w:right w:val="none" w:sz="0" w:space="0" w:color="auto"/>
      </w:divBdr>
    </w:div>
    <w:div w:id="927885257">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09994382">
      <w:bodyDiv w:val="1"/>
      <w:marLeft w:val="0"/>
      <w:marRight w:val="0"/>
      <w:marTop w:val="0"/>
      <w:marBottom w:val="0"/>
      <w:divBdr>
        <w:top w:val="none" w:sz="0" w:space="0" w:color="auto"/>
        <w:left w:val="none" w:sz="0" w:space="0" w:color="auto"/>
        <w:bottom w:val="none" w:sz="0" w:space="0" w:color="auto"/>
        <w:right w:val="none" w:sz="0" w:space="0" w:color="auto"/>
      </w:divBdr>
    </w:div>
    <w:div w:id="1221017859">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776944905">
      <w:bodyDiv w:val="1"/>
      <w:marLeft w:val="0"/>
      <w:marRight w:val="0"/>
      <w:marTop w:val="0"/>
      <w:marBottom w:val="0"/>
      <w:divBdr>
        <w:top w:val="none" w:sz="0" w:space="0" w:color="auto"/>
        <w:left w:val="none" w:sz="0" w:space="0" w:color="auto"/>
        <w:bottom w:val="none" w:sz="0" w:space="0" w:color="auto"/>
        <w:right w:val="none" w:sz="0" w:space="0" w:color="auto"/>
      </w:divBdr>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21</revision>
  <lastPrinted>2021-01-06T16:15:00.0000000Z</lastPrinted>
  <dcterms:created xsi:type="dcterms:W3CDTF">2020-08-12T19:46:00.0000000Z</dcterms:created>
  <dcterms:modified xsi:type="dcterms:W3CDTF">2022-08-15T18:18:05.1899429Z</dcterms:modified>
</coreProperties>
</file>