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690B0799" w14:paraId="3E2643B7" w14:textId="77777777">
        <w:trPr>
          <w:trHeight w:val="579"/>
        </w:trPr>
        <w:tc>
          <w:tcPr>
            <w:tcW w:w="10299" w:type="dxa"/>
            <w:tcMar/>
          </w:tcPr>
          <w:p w:rsidRPr="00772D57" w:rsidR="00772D57" w:rsidP="00772D57" w:rsidRDefault="005245CE" w14:paraId="16C5B6F3" w14:textId="4A673218">
            <w:pPr>
              <w:rPr>
                <w:rFonts w:cs="Century Gothic Light"/>
                <w:color w:val="09223F"/>
              </w:rPr>
            </w:pPr>
            <w:r w:rsidRPr="005245CE">
              <w:rPr>
                <w:rFonts w:cs="Century Gothic Light"/>
                <w:color w:val="09223F"/>
              </w:rPr>
              <w:t xml:space="preserve">Andrea Marconi is an experienced litigator and serves as a vice chair of the firm’s business litigation practice group. </w:t>
            </w:r>
            <w:r w:rsidRPr="00772D57" w:rsidR="00772D57">
              <w:rPr>
                <w:rFonts w:cs="Century Gothic Light"/>
                <w:color w:val="09223F"/>
              </w:rPr>
              <w:t>Her broad spectrum of work encompasses many areas, including complex commercial litigation, franchise litigation and banking issues such as payment processing, credit card processing and ACH transactions. In addition, Andrea has experience with entities throughout the healthcare industry, including representing health insurers and medical billing companies in numerous matters such as coverage issues, regulatory and compliance matters, and defense of bad faith claims. Routinely arbitrating and contesting cases in state and federal courts around the country, she also has extensive experience litigating a wide array of real estate contract disputes, insurance coverage and indemnity matters, restrictive covenants, and trade secret litigation.</w:t>
            </w:r>
          </w:p>
          <w:p w:rsidRPr="00772D57" w:rsidR="00772D57" w:rsidP="00772D57" w:rsidRDefault="00772D57" w14:paraId="3A0853BC" w14:textId="77777777">
            <w:pPr>
              <w:rPr>
                <w:rFonts w:cs="Century Gothic Light"/>
                <w:color w:val="09223F"/>
              </w:rPr>
            </w:pPr>
          </w:p>
          <w:p w:rsidRPr="00772D57" w:rsidR="00772D57" w:rsidP="00772D57" w:rsidRDefault="00772D57" w14:paraId="6C811A67" w14:textId="77777777">
            <w:pPr>
              <w:rPr>
                <w:rFonts w:cs="Century Gothic Light"/>
                <w:color w:val="09223F"/>
              </w:rPr>
            </w:pPr>
            <w:r w:rsidRPr="00772D57">
              <w:rPr>
                <w:rFonts w:cs="Century Gothic Light"/>
                <w:color w:val="09223F"/>
              </w:rPr>
              <w:t>Although she did not come from a family of attorneys, Andrea knew early on her calling was to be an attorney. She has always loved analyzing problems, persuading others as to her opinion on the facts and arguing with her father — and often winning — at the kitchen table. As a business litigation attorney, she now advises a diverse group of clients, including individuals, small and mid-sized businesses, and Fortune 500 companies.</w:t>
            </w:r>
          </w:p>
          <w:p w:rsidRPr="00772D57" w:rsidR="00772D57" w:rsidP="00772D57" w:rsidRDefault="00772D57" w14:paraId="2FDEC9B8" w14:textId="77777777">
            <w:pPr>
              <w:rPr>
                <w:rFonts w:cs="Century Gothic Light"/>
                <w:color w:val="09223F"/>
              </w:rPr>
            </w:pPr>
          </w:p>
          <w:p w:rsidRPr="00772D57" w:rsidR="00772D57" w:rsidP="00772D57" w:rsidRDefault="00772D57" w14:paraId="10ED6BB1" w14:textId="77777777">
            <w:pPr>
              <w:rPr>
                <w:rFonts w:cs="Century Gothic Light"/>
                <w:color w:val="09223F"/>
              </w:rPr>
            </w:pPr>
            <w:r w:rsidRPr="00772D57">
              <w:rPr>
                <w:rFonts w:cs="Century Gothic Light"/>
                <w:color w:val="09223F"/>
              </w:rPr>
              <w:t>She litigates disputes from start to finish — and often resolves these cases before they need to be addressed in the courthouse. She continues to study the art and science of disagreements, and how to best solve them, which is often conducive to long-term relationships with her clients. She frequently takes the role of outside general counsel, looking at ways of avoiding ambiguity that could lead to costly disputes in the future. While not afraid to fight when necessary, Andrea’s approach throughout her career as a business litigation attorney has been to learn her clients’ business inside and out, understanding critical issues and proactively handling any problems in an efficient and cost-effective manner.</w:t>
            </w:r>
          </w:p>
          <w:p w:rsidRPr="00772D57" w:rsidR="00772D57" w:rsidP="00772D57" w:rsidRDefault="00772D57" w14:paraId="7F492297" w14:textId="77777777">
            <w:pPr>
              <w:rPr>
                <w:rFonts w:cs="Century Gothic Light"/>
                <w:color w:val="09223F"/>
              </w:rPr>
            </w:pPr>
          </w:p>
          <w:p w:rsidRPr="003779A7" w:rsidR="008700A0" w:rsidP="00772D57" w:rsidRDefault="00772D57" w14:paraId="39C10D41" w14:textId="33C0EB06">
            <w:pPr>
              <w:rPr>
                <w:rFonts w:cs="Century Gothic Light"/>
                <w:color w:val="09223F"/>
              </w:rPr>
            </w:pPr>
            <w:r w:rsidRPr="00772D57">
              <w:rPr>
                <w:rFonts w:cs="Century Gothic Light"/>
                <w:color w:val="09223F"/>
              </w:rPr>
              <w:t>When not litigating, Andrea is probably volunteering in the community. Her passion for animal welfare is showcased in her efforts as the chair of the Arizona Humane Society’s board of directors, and her enthusiasm for hoops is evidenced by her seat on the Phoenix Suns Charities 88 Big Gorilla board of directors. Her two sons are her pride and joy, and her weekends are spent at their numerous basketball and soccer events.</w:t>
            </w:r>
          </w:p>
        </w:tc>
      </w:tr>
      <w:tr w:rsidR="008700A0" w:rsidTr="690B079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690B079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772D57" w:rsidR="00772D57" w:rsidP="00772D57" w:rsidRDefault="00772D57" w14:paraId="05560C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t>J.D., Arizona State University, Sandra Day O’Connor College of Law</w:t>
            </w:r>
          </w:p>
          <w:p w:rsidRPr="00551687" w:rsidR="00AB20C4" w:rsidP="00772D57" w:rsidRDefault="00772D57" w14:paraId="3BF85D19" w14:textId="512557A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72D57">
              <w:rPr>
                <w:rFonts w:ascii="Century Gothic Light" w:hAnsi="Century Gothic Light" w:cs="Century Gothic Light"/>
                <w:color w:val="09223F"/>
                <w:sz w:val="22"/>
                <w:szCs w:val="22"/>
              </w:rPr>
              <w:t>B.A., Political Science, Sociology, University of Arizona</w:t>
            </w:r>
          </w:p>
        </w:tc>
      </w:tr>
      <w:tr w:rsidR="00DE4410" w:rsidTr="690B079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690B0799"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9D76A0" w:rsidRDefault="00772D57" w14:paraId="13AEF00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772D57" w:rsidP="009D76A0" w:rsidRDefault="00772D57" w14:paraId="7D4B1C0B" w14:textId="7C714D00">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tc>
              <w:tc>
                <w:tcPr>
                  <w:tcW w:w="5037" w:type="dxa"/>
                </w:tcPr>
                <w:p w:rsidR="00772D57" w:rsidP="009D76A0" w:rsidRDefault="00772D57" w14:paraId="53B2411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Pr="00442803" w:rsidR="00772D57" w:rsidP="009D76A0" w:rsidRDefault="00772D57" w14:paraId="22A85BCB" w14:textId="311598DB">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01099" w:rsidTr="690B0799"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772D57" w:rsidTr="690B0799" w14:paraId="77E7911D" w14:textId="77777777">
        <w:trPr>
          <w:trHeight w:val="288"/>
        </w:trPr>
        <w:tc>
          <w:tcPr>
            <w:tcW w:w="10299" w:type="dxa"/>
            <w:tcMar/>
          </w:tcPr>
          <w:p w:rsidRPr="00996259" w:rsidR="00772D57" w:rsidP="00772D57" w:rsidRDefault="00772D57" w14:paraId="0967D450" w14:textId="34A6FD4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4B0B42" w:rsidR="004B0B42" w:rsidP="004B0B42" w:rsidRDefault="004B0B42" w14:paraId="2DFC4C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Achieved early dismissal of public employee in a high-profile case alleging negligence and breach of duty claims.</w:t>
            </w:r>
          </w:p>
          <w:p w:rsidRPr="004B0B42" w:rsidR="004B0B42" w:rsidP="004B0B42" w:rsidRDefault="004B0B42" w14:paraId="430596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national franchisor of massage and spa clinics with franchises in 49 states, including serving as co-lead member of the franchisor’s national defense counsel team for various kinds of tort claims.</w:t>
            </w:r>
          </w:p>
          <w:p w:rsidRPr="004B0B42" w:rsidR="004B0B42" w:rsidP="004B0B42" w:rsidRDefault="004B0B42" w14:paraId="487909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and negotiated a favorable settlement of non-compete, trade secret misappropriation and unfair competition claims brought against a high-level sales employee after his departure from a prior employer.</w:t>
            </w:r>
          </w:p>
          <w:p w:rsidRPr="004B0B42" w:rsidR="004B0B42" w:rsidP="004B0B42" w:rsidRDefault="004B0B42" w14:paraId="665F17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credit card processing company in numerous putative class action cases that were consolidated and transferred to a multi-district litigation involving claims arising out of one of the largest alleged pyramid and Ponzi schemes in U.S. history.</w:t>
            </w:r>
          </w:p>
          <w:p w:rsidRPr="004B0B42" w:rsidR="004B0B42" w:rsidP="004B0B42" w:rsidRDefault="004B0B42" w14:paraId="6914151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Achieved dismissal of payment gateway provider in same multi-district litigation involving claims arising out of one of the largest alleged pyramid and Ponzi schemes in U.S. history.</w:t>
            </w:r>
          </w:p>
          <w:p w:rsidRPr="004B0B42" w:rsidR="004B0B42" w:rsidP="004B0B42" w:rsidRDefault="004B0B42" w14:paraId="4279B3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 xml:space="preserve">Representation of third-party payment processor in numerous aspects of its business, including contract drafting and review, regulatory and compliance issues, employment matters, and litigation. Represents clients in defending against vicarious liability and </w:t>
            </w:r>
            <w:proofErr w:type="spellStart"/>
            <w:r w:rsidRPr="004B0B42">
              <w:rPr>
                <w:rFonts w:ascii="Century Gothic Light" w:hAnsi="Century Gothic Light" w:cs="Century Gothic Light"/>
                <w:color w:val="09223F"/>
                <w:sz w:val="22"/>
                <w:szCs w:val="22"/>
              </w:rPr>
              <w:t>respondeat</w:t>
            </w:r>
            <w:proofErr w:type="spellEnd"/>
            <w:r w:rsidRPr="004B0B42">
              <w:rPr>
                <w:rFonts w:ascii="Century Gothic Light" w:hAnsi="Century Gothic Light" w:cs="Century Gothic Light"/>
                <w:color w:val="09223F"/>
                <w:sz w:val="22"/>
                <w:szCs w:val="22"/>
              </w:rPr>
              <w:t xml:space="preserve"> superior claims arising out of negligent and intentional conduct by employees, contractors, franchisees, and other like individuals or entities.</w:t>
            </w:r>
          </w:p>
          <w:p w:rsidRPr="004B0B42" w:rsidR="004B0B42" w:rsidP="004B0B42" w:rsidRDefault="004B0B42" w14:paraId="51DC8C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large supplier of automated voice response systems in indemnification action arising out of patent infringement claims alleged against a call processing center to whom the client provided its product.</w:t>
            </w:r>
          </w:p>
          <w:p w:rsidRPr="004B0B42" w:rsidR="004B0B42" w:rsidP="004B0B42" w:rsidRDefault="004B0B42" w14:paraId="15178B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local fine dining restaurant group and was part of the team who negotiated a favorable settlement for client in actions involving claims of breach of a multi-million dollar promissory note against the financiers who purchased the restaurant group and defending against trademark and trade dress infringement claims asserted by the purchaser against the restaurant group.</w:t>
            </w:r>
          </w:p>
          <w:p w:rsidRPr="004B0B42" w:rsidR="004B0B42" w:rsidP="004B0B42" w:rsidRDefault="004B0B42" w14:paraId="435970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 xml:space="preserve">Represented a large solid waste company in arbitration regarding a success fee and royalty contract where the claimant contended it had earned a large success fee and multi-million dollar royalty in connection with a landfill expansion. After a full evidentiary hearing, the arbitrator ruled that the claimant had not established entitlement to either </w:t>
            </w:r>
            <w:r w:rsidRPr="004B0B42">
              <w:rPr>
                <w:rFonts w:ascii="Century Gothic Light" w:hAnsi="Century Gothic Light" w:cs="Century Gothic Light"/>
                <w:color w:val="09223F"/>
                <w:sz w:val="22"/>
                <w:szCs w:val="22"/>
              </w:rPr>
              <w:lastRenderedPageBreak/>
              <w:t>the success fee or royalty and issued an award in favor of the waste company. The claimant moved the Arizona Superior Court to vacate the award. The court denied the motion to amend and confirmed the arbitration award.</w:t>
            </w:r>
          </w:p>
          <w:p w:rsidRPr="004B0B42" w:rsidR="004B0B42" w:rsidP="004B0B42" w:rsidRDefault="004B0B42" w14:paraId="5942EA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claims by a putative class of consumers alleging unlawful pharmaceutical pricing in multi- district litigation matter.</w:t>
            </w:r>
          </w:p>
          <w:p w:rsidRPr="004B0B42" w:rsidR="004B0B42" w:rsidP="004B0B42" w:rsidRDefault="004B0B42" w14:paraId="773AFA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Represented a Japanese EPC subcontractor in arbitration of consolidated claims arising out of the construction of a 790-Megawatt Power Plant in the Midwestern United States.</w:t>
            </w:r>
          </w:p>
          <w:p w:rsidR="004B0B42" w:rsidP="004B0B42" w:rsidRDefault="004B0B42" w14:paraId="275CA5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Defended more than 30 individual personal injury claims alleging purported benzene exposure in a Midwestern community against one of the world’s largest oil companies related to one of the company’s refineries and achieved a successful settlement of all remaining claims.</w:t>
            </w:r>
          </w:p>
          <w:p w:rsidRPr="004B0B42" w:rsidR="00772D57" w:rsidP="004B0B42" w:rsidRDefault="004B0B42" w14:paraId="209E6724" w14:textId="3F1F1B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Participated in negotiating a favorable settlement and business licensing agreement to resolve trade secret and misappropriation claims against a large industrial manufacturer client.</w:t>
            </w:r>
          </w:p>
        </w:tc>
      </w:tr>
      <w:tr w:rsidR="00772D57" w:rsidTr="690B0799" w14:paraId="777B51F1" w14:textId="77777777">
        <w:trPr>
          <w:trHeight w:val="288"/>
        </w:trPr>
        <w:tc>
          <w:tcPr>
            <w:tcW w:w="10299" w:type="dxa"/>
            <w:tcMar/>
          </w:tcPr>
          <w:p w:rsidRPr="008F5DD7" w:rsidR="00772D57" w:rsidP="00996259" w:rsidRDefault="00772D57" w14:paraId="4B758BA7" w14:textId="77777777">
            <w:pPr>
              <w:pStyle w:val="BasicParagraph"/>
              <w:rPr>
                <w:rFonts w:ascii="Century Gothic Light" w:hAnsi="Century Gothic Light" w:cs="Century Gothic Light"/>
                <w:caps/>
                <w:color w:val="F5821F"/>
                <w:szCs w:val="28"/>
              </w:rPr>
            </w:pPr>
          </w:p>
        </w:tc>
      </w:tr>
      <w:tr w:rsidR="00AC5754" w:rsidTr="690B0799" w14:paraId="79D9C65A" w14:textId="77777777">
        <w:trPr>
          <w:trHeight w:val="288"/>
        </w:trPr>
        <w:tc>
          <w:tcPr>
            <w:tcW w:w="10299" w:type="dxa"/>
            <w:tcMar/>
          </w:tcPr>
          <w:p w:rsidRPr="00996259" w:rsidR="00442803" w:rsidP="00442803" w:rsidRDefault="00442803" w14:paraId="3179969F" w14:textId="5868EAC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B0B42" w:rsidR="004B0B42" w:rsidP="004B0B42" w:rsidRDefault="004B0B42" w14:paraId="309392F6" w14:textId="4FDCE1FB">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Southwest Super Lawyers</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i/>
                <w:iCs/>
                <w:color w:val="09223F"/>
                <w:sz w:val="22"/>
                <w:szCs w:val="22"/>
              </w:rPr>
              <w:t xml:space="preserve">, </w:t>
            </w:r>
            <w:r w:rsidRPr="004B0B42">
              <w:rPr>
                <w:rFonts w:ascii="Century Gothic Light" w:hAnsi="Century Gothic Light" w:cs="Century Gothic Light"/>
                <w:color w:val="09223F"/>
                <w:sz w:val="22"/>
                <w:szCs w:val="22"/>
              </w:rPr>
              <w:t>Top 25 Women, State of Arizona</w:t>
            </w:r>
          </w:p>
          <w:p w:rsidRPr="004B0B42" w:rsidR="004B0B42" w:rsidP="004B0B42" w:rsidRDefault="004B0B42" w14:paraId="2879B9DD"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 xml:space="preserve">AZ Business Magazine, </w:t>
            </w:r>
            <w:r w:rsidRPr="004B0B42">
              <w:rPr>
                <w:rFonts w:ascii="Century Gothic Light" w:hAnsi="Century Gothic Light" w:cs="Century Gothic Light"/>
                <w:color w:val="09223F"/>
                <w:sz w:val="22"/>
                <w:szCs w:val="22"/>
              </w:rPr>
              <w:t>Top 100 Lawyers in Arizona</w:t>
            </w:r>
          </w:p>
          <w:p w:rsidRPr="004B0B42" w:rsidR="004B0B42" w:rsidP="004B0B42" w:rsidRDefault="004B0B42" w14:paraId="60DC2C99" w14:textId="20A4CFB2">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B0B42">
              <w:rPr>
                <w:rFonts w:ascii="Century Gothic Light" w:hAnsi="Century Gothic Light" w:cs="Century Gothic Light"/>
                <w:i/>
                <w:iCs/>
                <w:color w:val="09223F"/>
                <w:sz w:val="22"/>
                <w:szCs w:val="22"/>
              </w:rPr>
              <w:t>Southwest Super Lawyers</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i/>
                <w:iCs/>
                <w:color w:val="09223F"/>
                <w:sz w:val="22"/>
                <w:szCs w:val="22"/>
              </w:rPr>
              <w:t xml:space="preserve">, </w:t>
            </w:r>
            <w:r w:rsidRPr="004B0B42">
              <w:rPr>
                <w:rFonts w:ascii="Century Gothic Light" w:hAnsi="Century Gothic Light" w:cs="Century Gothic Light"/>
                <w:color w:val="09223F"/>
                <w:sz w:val="22"/>
                <w:szCs w:val="22"/>
              </w:rPr>
              <w:t>Business Litigation</w:t>
            </w:r>
          </w:p>
          <w:p w:rsidRPr="004B0B42" w:rsidR="00AC5754" w:rsidP="004B0B42" w:rsidRDefault="004B0B42" w14:paraId="4CC6989E" w14:textId="79A7D73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AV</w:t>
            </w:r>
            <w:r w:rsidRPr="004B0B42">
              <w:rPr>
                <w:rFonts w:ascii="Century Gothic Light" w:hAnsi="Century Gothic Light" w:cs="Century Gothic Light"/>
                <w:color w:val="09223F"/>
                <w:sz w:val="22"/>
                <w:szCs w:val="22"/>
                <w:vertAlign w:val="superscript"/>
              </w:rPr>
              <w:t>®</w:t>
            </w:r>
            <w:r w:rsidRPr="004B0B42">
              <w:rPr>
                <w:rFonts w:ascii="Century Gothic Light" w:hAnsi="Century Gothic Light" w:cs="Century Gothic Light"/>
                <w:color w:val="09223F"/>
                <w:sz w:val="22"/>
                <w:szCs w:val="22"/>
              </w:rPr>
              <w:t xml:space="preserve"> Preeminent™ Peer Review Rated (the highest rating available), by Martindale-Hubbell</w:t>
            </w:r>
          </w:p>
        </w:tc>
      </w:tr>
      <w:tr w:rsidR="00AC5754" w:rsidTr="690B0799"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02353F" w:rsidTr="690B0799"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690B0799" w:rsidR="690B0799">
              <w:rPr>
                <w:rFonts w:ascii="Century Gothic Light" w:hAnsi="Century Gothic Light" w:cs="Century Gothic Light"/>
                <w:caps w:val="1"/>
                <w:color w:val="F5821F"/>
                <w:sz w:val="28"/>
                <w:szCs w:val="28"/>
              </w:rPr>
              <w:t>articles and presentations</w:t>
            </w:r>
          </w:p>
          <w:p w:rsidR="690B0799" w:rsidP="690B0799" w:rsidRDefault="690B0799" w14:paraId="4E9875FA" w14:textId="4BEB9A65">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690B0799" w:rsidR="690B0799">
              <w:rPr>
                <w:rFonts w:ascii="Century Gothic Light" w:hAnsi="Century Gothic Light" w:cs="Century Gothic Light"/>
                <w:color w:val="auto"/>
                <w:sz w:val="22"/>
                <w:szCs w:val="22"/>
              </w:rPr>
              <w:t>Featured, “Meet the 2022 Women of Chandler,” Chandler City Lifestyle, May 2022</w:t>
            </w:r>
          </w:p>
          <w:p w:rsidR="0F215F9E" w:rsidP="0F215F9E" w:rsidRDefault="0F215F9E" w14:paraId="4F5BB74E" w14:textId="062BD570">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0F215F9E" w:rsidR="0F215F9E">
              <w:rPr>
                <w:rFonts w:ascii="Century Gothic Light" w:hAnsi="Century Gothic Light" w:cs="Century Gothic Light"/>
                <w:color w:val="auto"/>
                <w:sz w:val="22"/>
                <w:szCs w:val="22"/>
              </w:rPr>
              <w:t xml:space="preserve">Interview, "Community Highlights: Meet Andrea Marconi of Fennemore Craig," </w:t>
            </w:r>
            <w:proofErr w:type="spellStart"/>
            <w:r w:rsidRPr="0F215F9E" w:rsidR="0F215F9E">
              <w:rPr>
                <w:rFonts w:ascii="Century Gothic Light" w:hAnsi="Century Gothic Light" w:cs="Century Gothic Light"/>
                <w:color w:val="auto"/>
                <w:sz w:val="22"/>
                <w:szCs w:val="22"/>
              </w:rPr>
              <w:t>VoyagePhoenix</w:t>
            </w:r>
            <w:proofErr w:type="spellEnd"/>
            <w:r w:rsidRPr="0F215F9E" w:rsidR="0F215F9E">
              <w:rPr>
                <w:rFonts w:ascii="Century Gothic Light" w:hAnsi="Century Gothic Light" w:cs="Century Gothic Light"/>
                <w:color w:val="auto"/>
                <w:sz w:val="22"/>
                <w:szCs w:val="22"/>
              </w:rPr>
              <w:t>,  March 24, 2022</w:t>
            </w:r>
          </w:p>
          <w:p w:rsidR="0F215F9E" w:rsidP="0F215F9E" w:rsidRDefault="0F215F9E" w14:paraId="2E64D696" w14:textId="5DFE0905">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Author, "Beyond Boilerplate: Preparing the Right Dispute Resolution Clause for Business Contracts" AZ Attorney Magazine, November 2021</w:t>
            </w:r>
          </w:p>
          <w:p w:rsidR="0F215F9E" w:rsidP="0F215F9E" w:rsidRDefault="0F215F9E" w14:paraId="1C776F18" w14:textId="006B33E4">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Co-Presenter, “Protecting Your Business and Brand,” KNOW Women National Summit, October 23, 2021</w:t>
            </w:r>
          </w:p>
          <w:p w:rsidR="0F215F9E" w:rsidP="0F215F9E" w:rsidRDefault="0F215F9E" w14:paraId="6A4A67A9" w14:textId="18E615C4">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Co-author, "OSHA Issues Emergency Temporary Standard for Health Care Employers," Fennemore Client Alert, July 8, 2021</w:t>
            </w:r>
          </w:p>
          <w:p w:rsidR="0F215F9E" w:rsidP="0F215F9E" w:rsidRDefault="0F215F9E" w14:paraId="4B9242F3" w14:textId="08870730">
            <w:pPr>
              <w:pStyle w:val="ListParagraph"/>
              <w:numPr>
                <w:ilvl w:val="0"/>
                <w:numId w:val="1"/>
              </w:numPr>
              <w:rPr>
                <w:rFonts w:ascii="Century Gothic Light" w:hAnsi="Century Gothic Light" w:eastAsia="Century Gothic Light" w:cs="Century Gothic Light"/>
                <w:color w:val="000000"/>
                <w:sz w:val="22"/>
                <w:szCs w:val="22"/>
              </w:rPr>
            </w:pPr>
            <w:r w:rsidRPr="0F215F9E" w:rsidR="0F215F9E">
              <w:rPr>
                <w:color w:val="auto"/>
              </w:rPr>
              <w:t>Author, "What to Know: Updated OSHA COVID-19 Guidance for Workplaces," Fennemore Client Alert, June 24, 2021</w:t>
            </w:r>
          </w:p>
          <w:p w:rsidRPr="009D76A0" w:rsidR="009D76A0" w:rsidP="009D76A0" w:rsidRDefault="009D76A0" w14:paraId="71BEE8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w:anchor=".YJVOOrVKgUH" r:id="rId7">
              <w:r w:rsidRPr="009D76A0">
                <w:rPr>
                  <w:rFonts w:ascii="Century Gothic Light" w:hAnsi="Century Gothic Light" w:cs="Century Gothic Light"/>
                  <w:color w:val="09223F"/>
                  <w:sz w:val="22"/>
                  <w:szCs w:val="22"/>
                </w:rPr>
                <w:t>Author, "Contract Dispute Resolution Provisions Are Not One-Size-Fits-All," </w:t>
              </w:r>
              <w:proofErr w:type="spellStart"/>
              <w:r w:rsidRPr="009D76A0">
                <w:rPr>
                  <w:rFonts w:ascii="Century Gothic Light" w:hAnsi="Century Gothic Light" w:cs="Century Gothic Light"/>
                  <w:i/>
                  <w:iCs/>
                  <w:color w:val="09223F"/>
                  <w:sz w:val="22"/>
                  <w:szCs w:val="22"/>
                </w:rPr>
                <w:t>InBusiness</w:t>
              </w:r>
              <w:proofErr w:type="spellEnd"/>
              <w:r w:rsidRPr="009D76A0">
                <w:rPr>
                  <w:rFonts w:ascii="Century Gothic Light" w:hAnsi="Century Gothic Light" w:cs="Century Gothic Light"/>
                  <w:i/>
                  <w:iCs/>
                  <w:color w:val="09223F"/>
                  <w:sz w:val="22"/>
                  <w:szCs w:val="22"/>
                </w:rPr>
                <w:t>,</w:t>
              </w:r>
              <w:r w:rsidRPr="009D76A0">
                <w:rPr>
                  <w:rFonts w:ascii="Century Gothic Light" w:hAnsi="Century Gothic Light" w:cs="Century Gothic Light"/>
                  <w:color w:val="09223F"/>
                  <w:sz w:val="22"/>
                  <w:szCs w:val="22"/>
                </w:rPr>
                <w:t xml:space="preserve"> May 1, 2021</w:t>
              </w:r>
            </w:hyperlink>
          </w:p>
          <w:p w:rsidRPr="00BC1BFA" w:rsidR="00BC1BFA" w:rsidP="00BC1BFA" w:rsidRDefault="00352FD6" w14:paraId="77CC9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BC1BFA" w:rsidR="00BC1BFA">
                <w:rPr>
                  <w:rFonts w:ascii="Century Gothic Light" w:hAnsi="Century Gothic Light" w:cs="Century Gothic Light"/>
                  <w:color w:val="09223F"/>
                  <w:sz w:val="22"/>
                  <w:szCs w:val="22"/>
                </w:rPr>
                <w:t>Author, "COVID liability law protects a wide range of entities," </w:t>
              </w:r>
              <w:r w:rsidRPr="00BC1BFA" w:rsidR="00BC1BFA">
                <w:rPr>
                  <w:rFonts w:ascii="Century Gothic Light" w:hAnsi="Century Gothic Light" w:cs="Century Gothic Light"/>
                  <w:i/>
                  <w:iCs/>
                  <w:color w:val="09223F"/>
                  <w:sz w:val="22"/>
                  <w:szCs w:val="22"/>
                </w:rPr>
                <w:t>Ahwatukee Foothills News,</w:t>
              </w:r>
              <w:r w:rsidRPr="00BC1BFA" w:rsidR="00BC1BFA">
                <w:rPr>
                  <w:rFonts w:ascii="Century Gothic Light" w:hAnsi="Century Gothic Light" w:cs="Century Gothic Light"/>
                  <w:color w:val="09223F"/>
                  <w:sz w:val="22"/>
                  <w:szCs w:val="22"/>
                </w:rPr>
                <w:t xml:space="preserve"> April 26, 2021</w:t>
              </w:r>
            </w:hyperlink>
          </w:p>
          <w:p w:rsidR="00BC1BFA" w:rsidP="00BC1BFA" w:rsidRDefault="00352FD6" w14:paraId="7E5D5717" w14:textId="76DEFDD6">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BC1BFA" w:rsidR="00BC1BFA">
                <w:rPr>
                  <w:rFonts w:ascii="Century Gothic Light" w:hAnsi="Century Gothic Light" w:cs="Century Gothic Light"/>
                  <w:color w:val="09223F"/>
                  <w:sz w:val="22"/>
                  <w:szCs w:val="22"/>
                </w:rPr>
                <w:t>Co-author, "Arizona Enacts COVID-19 Liability Protections for Health Professionals," Fennemore Client Alert, April 22, 2021</w:t>
              </w:r>
            </w:hyperlink>
          </w:p>
          <w:p w:rsidRPr="00DB558D" w:rsidR="00DB558D" w:rsidP="00DB558D" w:rsidRDefault="00DB558D" w14:paraId="63BCF7DF" w14:textId="696D0F90">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Quoted, “What is covered by Gov. </w:t>
            </w:r>
            <w:proofErr w:type="spellStart"/>
            <w:r>
              <w:rPr>
                <w:rFonts w:ascii="Century Gothic Light" w:hAnsi="Century Gothic Light" w:cs="Century Gothic Light"/>
                <w:color w:val="09223F"/>
                <w:sz w:val="22"/>
                <w:szCs w:val="22"/>
              </w:rPr>
              <w:t>Ducey’s</w:t>
            </w:r>
            <w:proofErr w:type="spellEnd"/>
            <w:r>
              <w:rPr>
                <w:rFonts w:ascii="Century Gothic Light" w:hAnsi="Century Gothic Light" w:cs="Century Gothic Light"/>
                <w:color w:val="09223F"/>
                <w:sz w:val="22"/>
                <w:szCs w:val="22"/>
              </w:rPr>
              <w:t xml:space="preserve"> executive order on vaccine passports?” News 4 Tucson, April 22, 2021</w:t>
            </w:r>
          </w:p>
          <w:p w:rsidRPr="006D4F94" w:rsidR="006D4F94" w:rsidP="006D4F94" w:rsidRDefault="00352FD6" w14:paraId="12600A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0">
              <w:r w:rsidRPr="006D4F94" w:rsidR="006D4F94">
                <w:rPr>
                  <w:rFonts w:ascii="Century Gothic Light" w:hAnsi="Century Gothic Light" w:cs="Century Gothic Light"/>
                  <w:color w:val="09223F"/>
                  <w:sz w:val="22"/>
                  <w:szCs w:val="22"/>
                </w:rPr>
                <w:t>Author, "Governor Ducey Bans "Vaccine Passports" for State and Local Governments," Fennemore Client Alert, April 19, 2021</w:t>
              </w:r>
            </w:hyperlink>
          </w:p>
          <w:p w:rsidRPr="0078062C" w:rsidR="0078062C" w:rsidP="0078062C" w:rsidRDefault="00352FD6" w14:paraId="6AD9A0E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11">
              <w:r w:rsidRPr="0078062C" w:rsidR="0078062C">
                <w:rPr>
                  <w:rFonts w:ascii="Century Gothic Light" w:hAnsi="Century Gothic Light" w:cs="Century Gothic Light"/>
                  <w:color w:val="09223F"/>
                  <w:sz w:val="22"/>
                  <w:szCs w:val="22"/>
                </w:rPr>
                <w:t>Author, "Arizona Enacts COVID-19 Liability Shield Law," Fennemore Client Alert, April 14, 2021</w:t>
              </w:r>
            </w:hyperlink>
          </w:p>
          <w:p w:rsidR="00733395" w:rsidP="004F39DD" w:rsidRDefault="007E1656" w14:paraId="5ECC51D4" w14:textId="2B7A573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w:t>
            </w:r>
            <w:r w:rsidRPr="00733395" w:rsidR="00733395">
              <w:rPr>
                <w:rFonts w:ascii="Century Gothic Light" w:hAnsi="Century Gothic Light" w:cs="Century Gothic Light"/>
                <w:color w:val="09223F"/>
                <w:sz w:val="22"/>
                <w:szCs w:val="22"/>
              </w:rPr>
              <w:t xml:space="preserve">, "Could Congress overturn Arizona's right-to-work law?" </w:t>
            </w:r>
            <w:r w:rsidRPr="00733395" w:rsidR="00733395">
              <w:rPr>
                <w:rFonts w:ascii="Century Gothic Light" w:hAnsi="Century Gothic Light" w:cs="Century Gothic Light"/>
                <w:i/>
                <w:iCs/>
                <w:color w:val="09223F"/>
                <w:sz w:val="22"/>
                <w:szCs w:val="22"/>
              </w:rPr>
              <w:t>AZ Big Media</w:t>
            </w:r>
            <w:r w:rsidRPr="00733395" w:rsidR="00733395">
              <w:rPr>
                <w:rFonts w:ascii="Century Gothic Light" w:hAnsi="Century Gothic Light" w:cs="Century Gothic Light"/>
                <w:color w:val="09223F"/>
                <w:sz w:val="22"/>
                <w:szCs w:val="22"/>
              </w:rPr>
              <w:t>, March 8, 2021</w:t>
            </w:r>
          </w:p>
          <w:p w:rsidR="00B24871" w:rsidP="004F39DD" w:rsidRDefault="00B24871" w14:paraId="58A97109" w14:textId="28083B0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 “Andrea Marconi of Fennemore: ‘Focus on Yourself’,” Thrive Global, February 3, 2021</w:t>
            </w:r>
          </w:p>
          <w:p w:rsidR="00B24871" w:rsidP="004F39DD" w:rsidRDefault="00B24871" w14:paraId="3AEE27A3" w14:textId="313851DE">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Interview, “Attorney Andrea Marconi of Fennemore: 5 Things I Wish Someone Had Told Me When I First Became an Attorney,” </w:t>
            </w:r>
            <w:r w:rsidRPr="00B24871">
              <w:rPr>
                <w:rFonts w:ascii="Century Gothic Light" w:hAnsi="Century Gothic Light" w:cs="Century Gothic Light"/>
                <w:i/>
                <w:iCs/>
                <w:color w:val="09223F"/>
                <w:sz w:val="22"/>
                <w:szCs w:val="22"/>
              </w:rPr>
              <w:t>Authority Magazine</w:t>
            </w:r>
            <w:r>
              <w:rPr>
                <w:rFonts w:ascii="Century Gothic Light" w:hAnsi="Century Gothic Light" w:cs="Century Gothic Light"/>
                <w:color w:val="09223F"/>
                <w:sz w:val="22"/>
                <w:szCs w:val="22"/>
              </w:rPr>
              <w:t>, January 13, 2021</w:t>
            </w:r>
          </w:p>
          <w:p w:rsidRPr="004F39DD" w:rsidR="004F39DD" w:rsidP="004F39DD" w:rsidRDefault="004F39DD" w14:paraId="71CBBA96" w14:textId="2475168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lastRenderedPageBreak/>
              <w:t>Author, "What Regulatory Actions Can Tell Payment Processors and ISOS About the Anticipated Wave of COVID-19 Related Enforcement and How to Protect Your Business," Fennemore Client Alert, June 23, 2020</w:t>
            </w:r>
          </w:p>
          <w:p w:rsidRPr="004F39DD" w:rsidR="004F39DD" w:rsidP="004F39DD" w:rsidRDefault="004F39DD" w14:paraId="2FC2071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"All Good Things Must Come to an End," Fennemore Client Alert, April 28, 2020</w:t>
            </w:r>
          </w:p>
          <w:p w:rsidRPr="004F39DD" w:rsidR="004F39DD" w:rsidP="004F39DD" w:rsidRDefault="004F39DD" w14:paraId="419644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Co-author, "COVID-19 and its Impact on the Deadline to Bring Legal Claims," Fennemore Client Alert, April 28, 2020</w:t>
            </w:r>
          </w:p>
          <w:p w:rsidRPr="004F39DD" w:rsidR="004F39DD" w:rsidP="004F39DD" w:rsidRDefault="004F39DD" w14:paraId="3CBCE8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 xml:space="preserve">Interview, "Women You Must Know and Do Business With," </w:t>
            </w:r>
            <w:r w:rsidRPr="004F39DD">
              <w:rPr>
                <w:rFonts w:ascii="Century Gothic Light" w:hAnsi="Century Gothic Light" w:cs="Century Gothic Light"/>
                <w:i/>
                <w:iCs/>
                <w:color w:val="09223F"/>
                <w:sz w:val="22"/>
                <w:szCs w:val="22"/>
              </w:rPr>
              <w:t xml:space="preserve">The KNOW Book + Tribe, </w:t>
            </w:r>
            <w:r w:rsidRPr="004F39DD">
              <w:rPr>
                <w:rFonts w:ascii="Century Gothic Light" w:hAnsi="Century Gothic Light" w:cs="Century Gothic Light"/>
                <w:color w:val="09223F"/>
                <w:sz w:val="22"/>
                <w:szCs w:val="22"/>
              </w:rPr>
              <w:t>January 27, 2020</w:t>
            </w:r>
          </w:p>
          <w:p w:rsidRPr="004F39DD" w:rsidR="004F39DD" w:rsidP="004F39DD" w:rsidRDefault="004F39DD" w14:paraId="363D0BD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"Spec's Family Partners, Limited v. First Data Merchant Services," Fennemore Client Alert, June 21, 2019</w:t>
            </w:r>
          </w:p>
          <w:p w:rsidRPr="004F39DD" w:rsidR="004F39DD" w:rsidP="004F39DD" w:rsidRDefault="004F39DD" w14:paraId="5EFD31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Co-author, "Vazquez v. Jan-Pro Franchising International, Inc.," Fennemore Client Alert, May 28, 2019</w:t>
            </w:r>
          </w:p>
          <w:p w:rsidRPr="004F39DD" w:rsidR="004F39DD" w:rsidP="004F39DD" w:rsidRDefault="004F39DD" w14:paraId="325AD3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"Changes to the Administration of Commercial Litigation in Arizona: A Brief Overview of the Commercial Court Pilot Program"</w:t>
            </w:r>
          </w:p>
          <w:p w:rsidRPr="004F39DD" w:rsidR="004F39DD" w:rsidP="004F39DD" w:rsidRDefault="004F39DD" w14:paraId="617C9A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"Financial Institutions &amp; Social Media: Final Guidance Issued By the FFIEC”</w:t>
            </w:r>
          </w:p>
          <w:p w:rsidRPr="004F39DD" w:rsidR="004F39DD" w:rsidP="004F39DD" w:rsidRDefault="004F39DD" w14:paraId="042E7CC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"Facilitating Financial Transactions in the Age of Internet Gambling: Compliance with the Unlawful Internet Gambling Enforcement Act"</w:t>
            </w:r>
          </w:p>
          <w:p w:rsidRPr="004F39DD" w:rsidR="004F39DD" w:rsidP="004F39DD" w:rsidRDefault="004F39DD" w14:paraId="06759D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"CFPB Announces Early Warning Notice of Enforcement Actions"</w:t>
            </w:r>
          </w:p>
          <w:p w:rsidRPr="004F39DD" w:rsidR="004F39DD" w:rsidP="004F39DD" w:rsidRDefault="004F39DD" w14:paraId="69294F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"Betting and Buying: The Legality of Facilitating Financial Payments for Internet Gambling"</w:t>
            </w:r>
          </w:p>
          <w:p w:rsidRPr="004F39DD" w:rsidR="004F39DD" w:rsidP="004F39DD" w:rsidRDefault="004F39DD" w14:paraId="70EC62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Author, “The Dodd-Frank Act and Consumer Financial Protection Bureau, What You Need to Know”</w:t>
            </w:r>
          </w:p>
          <w:p w:rsidRPr="004F39DD" w:rsidR="004F39DD" w:rsidP="004F39DD" w:rsidRDefault="004F39DD" w14:paraId="37872C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Presenter, “Emerging Issues: Social Media Guidelines for Banks and Financial Institutions Explored”</w:t>
            </w:r>
          </w:p>
          <w:p w:rsidRPr="00AC5754" w:rsidR="0002353F" w:rsidP="004F39DD" w:rsidRDefault="004F39DD" w14:paraId="708C26DE" w14:textId="57BAA88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F39DD">
              <w:rPr>
                <w:rFonts w:ascii="Century Gothic Light" w:hAnsi="Century Gothic Light" w:cs="Century Gothic Light"/>
                <w:color w:val="09223F"/>
                <w:sz w:val="22"/>
                <w:szCs w:val="22"/>
              </w:rPr>
              <w:t>Presenter, “Deconstructing a Litigation Budget”</w:t>
            </w:r>
          </w:p>
        </w:tc>
      </w:tr>
      <w:tr w:rsidR="0002353F" w:rsidTr="690B0799"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442803" w:rsidTr="690B0799"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D14E59" w:rsidP="004B0B42" w:rsidRDefault="00D14E59" w14:paraId="7BF05E2F" w14:textId="09784001">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Board Member, Chandler Chamber</w:t>
            </w:r>
          </w:p>
          <w:p w:rsidRPr="004B0B42" w:rsidR="004B0B42" w:rsidP="004B0B42" w:rsidRDefault="004B0B42" w14:paraId="0A3E3853" w14:textId="30099D9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Ninth Circuit Lawyers Representative</w:t>
            </w:r>
          </w:p>
          <w:p w:rsidRPr="004B0B42" w:rsidR="004B0B42" w:rsidP="004B0B42" w:rsidRDefault="004B0B42" w14:paraId="100378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Federal Bar Association, Federal Litigation Section, Secretary/Treasurer</w:t>
            </w:r>
          </w:p>
          <w:p w:rsidRPr="004B0B42" w:rsidR="004B0B42" w:rsidP="004B0B42" w:rsidRDefault="004B0B42" w14:paraId="702946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Federal Bar Association, National Sections and Divisions Council</w:t>
            </w:r>
          </w:p>
          <w:p w:rsidRPr="004B0B42" w:rsidR="004B0B42" w:rsidP="004B0B42" w:rsidRDefault="004B0B42" w14:paraId="7A94DE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Phoenix Chapter of Federal Bar Association, Past President and Member</w:t>
            </w:r>
          </w:p>
          <w:p w:rsidRPr="004B0B42" w:rsidR="004B0B42" w:rsidP="004B0B42" w:rsidRDefault="004B0B42" w14:paraId="3C1D54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 Women Lawyer’s Association, Board of Directors</w:t>
            </w:r>
          </w:p>
          <w:p w:rsidRPr="004B0B42" w:rsidR="004B0B42" w:rsidP="004B0B42" w:rsidRDefault="004B0B42" w14:paraId="4C4428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 Humane Society</w:t>
            </w:r>
          </w:p>
          <w:p w:rsidRPr="004B0B42" w:rsidR="004B0B42" w:rsidP="004B0B42" w:rsidRDefault="004B0B42" w14:paraId="6DD6C22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Chair</w:t>
            </w:r>
          </w:p>
          <w:p w:rsidRPr="004B0B42" w:rsidR="004B0B42" w:rsidP="004B0B42" w:rsidRDefault="004B0B42" w14:paraId="62E28DE8"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Vice-Chair</w:t>
            </w:r>
          </w:p>
          <w:p w:rsidRPr="004B0B42" w:rsidR="004B0B42" w:rsidP="004B0B42" w:rsidRDefault="004B0B42" w14:paraId="286AEB5A"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Governance Committee Chair</w:t>
            </w:r>
          </w:p>
          <w:p w:rsidRPr="004B0B42" w:rsidR="004B0B42" w:rsidP="004B0B42" w:rsidRDefault="004B0B42" w14:paraId="28D3AF04"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Co-Chair of Arizona Humane Society Signature Event, Compassion with Fashion</w:t>
            </w:r>
          </w:p>
          <w:p w:rsidRPr="004B0B42" w:rsidR="004B0B42" w:rsidP="004B0B42" w:rsidRDefault="004B0B42" w14:paraId="5BEE05B1"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Member</w:t>
            </w:r>
          </w:p>
          <w:p w:rsidRPr="004B0B42" w:rsidR="004B0B42" w:rsidP="004B0B42" w:rsidRDefault="004B0B42" w14:paraId="555D3D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Phoenix Suns Charities 88</w:t>
            </w:r>
          </w:p>
          <w:p w:rsidRPr="004B0B42" w:rsidR="004B0B42" w:rsidP="004B0B42" w:rsidRDefault="004B0B42" w14:paraId="751E8DA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(known as “The Big Gorillas”)</w:t>
            </w:r>
          </w:p>
          <w:p w:rsidRPr="004B0B42" w:rsidR="004B0B42" w:rsidP="004B0B42" w:rsidRDefault="004B0B42" w14:paraId="302C7172" w14:textId="77777777">
            <w:pPr>
              <w:pStyle w:val="BasicParagraph"/>
              <w:numPr>
                <w:ilvl w:val="1"/>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Member</w:t>
            </w:r>
          </w:p>
          <w:p w:rsidRPr="004B0B42" w:rsidR="004B0B42" w:rsidP="004B0B42" w:rsidRDefault="004B0B42" w14:paraId="3408E3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lastRenderedPageBreak/>
              <w:t>Member, Site Council for Curriculum Development, Knox Gifted Academy (Chandler)</w:t>
            </w:r>
          </w:p>
          <w:p w:rsidRPr="004B0B42" w:rsidR="004B0B42" w:rsidP="004B0B42" w:rsidRDefault="004B0B42" w14:paraId="541EC5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of Directors, Herberger Theater Center</w:t>
            </w:r>
          </w:p>
          <w:p w:rsidRPr="00442803" w:rsidR="00442803" w:rsidP="004B0B42" w:rsidRDefault="004B0B42" w14:paraId="38954D27" w14:textId="3B7F945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Board Member, Women’s Metropolitan Arts Council</w:t>
            </w:r>
          </w:p>
        </w:tc>
      </w:tr>
      <w:tr w:rsidR="00442803" w:rsidTr="690B0799"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690B079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4B0B42" w:rsidR="004B0B42" w:rsidP="004B0B42" w:rsidRDefault="004B0B42" w14:paraId="571EE42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Arizona</w:t>
            </w:r>
          </w:p>
          <w:p w:rsidRPr="004B0B42" w:rsidR="004B0B42" w:rsidP="004B0B42" w:rsidRDefault="004B0B42" w14:paraId="57229B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District Court, District of Arizona</w:t>
            </w:r>
          </w:p>
          <w:p w:rsidRPr="004B0B42" w:rsidR="004B0B42" w:rsidP="004B0B42" w:rsidRDefault="004B0B42" w14:paraId="65BC40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District Court, District of Colorado</w:t>
            </w:r>
          </w:p>
          <w:p w:rsidRPr="00AC5754" w:rsidR="00AD3FAF" w:rsidP="004B0B42" w:rsidRDefault="004B0B42" w14:paraId="044073AE" w14:textId="020ECE5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B0B42">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2"/>
      <w:headerReference w:type="first" r:id="rId13"/>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2FD6" w:rsidP="008700A0" w:rsidRDefault="00352FD6" w14:paraId="701D8CF6" w14:textId="77777777">
      <w:pPr>
        <w:spacing w:after="0" w:line="240" w:lineRule="auto"/>
      </w:pPr>
      <w:r>
        <w:separator/>
      </w:r>
    </w:p>
  </w:endnote>
  <w:endnote w:type="continuationSeparator" w:id="0">
    <w:p w:rsidR="00352FD6" w:rsidP="008700A0" w:rsidRDefault="00352FD6" w14:paraId="2DED8F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2FD6" w:rsidP="008700A0" w:rsidRDefault="00352FD6" w14:paraId="508E00DF" w14:textId="77777777">
      <w:pPr>
        <w:spacing w:after="0" w:line="240" w:lineRule="auto"/>
      </w:pPr>
      <w:r>
        <w:separator/>
      </w:r>
    </w:p>
  </w:footnote>
  <w:footnote w:type="continuationSeparator" w:id="0">
    <w:p w:rsidR="00352FD6" w:rsidP="008700A0" w:rsidRDefault="00352FD6" w14:paraId="6D503F5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15D16C73">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F5892BC">
          <wp:simplePos x="0" y="0"/>
          <wp:positionH relativeFrom="margin">
            <wp:posOffset>-457200</wp:posOffset>
          </wp:positionH>
          <wp:positionV relativeFrom="margin">
            <wp:posOffset>-466725</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44DA"/>
    <w:multiLevelType w:val="multilevel"/>
    <w:tmpl w:val="3A762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1583181"/>
    <w:multiLevelType w:val="multilevel"/>
    <w:tmpl w:val="99C6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21253DD"/>
    <w:multiLevelType w:val="multilevel"/>
    <w:tmpl w:val="1630A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60D40A1"/>
    <w:multiLevelType w:val="multilevel"/>
    <w:tmpl w:val="2C9E2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7"/>
  </w:num>
  <w:num w:numId="3">
    <w:abstractNumId w:val="20"/>
  </w:num>
  <w:num w:numId="4">
    <w:abstractNumId w:val="5"/>
  </w:num>
  <w:num w:numId="5">
    <w:abstractNumId w:val="6"/>
  </w:num>
  <w:num w:numId="6">
    <w:abstractNumId w:val="24"/>
  </w:num>
  <w:num w:numId="7">
    <w:abstractNumId w:val="23"/>
  </w:num>
  <w:num w:numId="8">
    <w:abstractNumId w:val="18"/>
  </w:num>
  <w:num w:numId="9">
    <w:abstractNumId w:val="9"/>
  </w:num>
  <w:num w:numId="10">
    <w:abstractNumId w:val="15"/>
  </w:num>
  <w:num w:numId="11">
    <w:abstractNumId w:val="25"/>
  </w:num>
  <w:num w:numId="12">
    <w:abstractNumId w:val="10"/>
  </w:num>
  <w:num w:numId="13">
    <w:abstractNumId w:val="3"/>
  </w:num>
  <w:num w:numId="14">
    <w:abstractNumId w:val="29"/>
  </w:num>
  <w:num w:numId="15">
    <w:abstractNumId w:val="30"/>
  </w:num>
  <w:num w:numId="16">
    <w:abstractNumId w:val="16"/>
  </w:num>
  <w:num w:numId="17">
    <w:abstractNumId w:val="17"/>
  </w:num>
  <w:num w:numId="18">
    <w:abstractNumId w:val="2"/>
  </w:num>
  <w:num w:numId="19">
    <w:abstractNumId w:val="22"/>
  </w:num>
  <w:num w:numId="20">
    <w:abstractNumId w:val="26"/>
  </w:num>
  <w:num w:numId="21">
    <w:abstractNumId w:val="11"/>
  </w:num>
  <w:num w:numId="22">
    <w:abstractNumId w:val="31"/>
  </w:num>
  <w:num w:numId="23">
    <w:abstractNumId w:val="12"/>
  </w:num>
  <w:num w:numId="24">
    <w:abstractNumId w:val="21"/>
  </w:num>
  <w:num w:numId="25">
    <w:abstractNumId w:val="8"/>
  </w:num>
  <w:num w:numId="26">
    <w:abstractNumId w:val="13"/>
  </w:num>
  <w:num w:numId="27">
    <w:abstractNumId w:val="4"/>
  </w:num>
  <w:num w:numId="28">
    <w:abstractNumId w:val="1"/>
  </w:num>
  <w:num w:numId="29">
    <w:abstractNumId w:val="19"/>
  </w:num>
  <w:num w:numId="30">
    <w:abstractNumId w:val="0"/>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F6FAD"/>
    <w:rsid w:val="001138EA"/>
    <w:rsid w:val="00124890"/>
    <w:rsid w:val="00174ACF"/>
    <w:rsid w:val="0019269A"/>
    <w:rsid w:val="001C6685"/>
    <w:rsid w:val="001F1000"/>
    <w:rsid w:val="00216E51"/>
    <w:rsid w:val="00217188"/>
    <w:rsid w:val="0021738A"/>
    <w:rsid w:val="002548B5"/>
    <w:rsid w:val="00266E0F"/>
    <w:rsid w:val="00290ABD"/>
    <w:rsid w:val="00290F41"/>
    <w:rsid w:val="00295769"/>
    <w:rsid w:val="002A2E90"/>
    <w:rsid w:val="002D5A17"/>
    <w:rsid w:val="002E4358"/>
    <w:rsid w:val="00312CFC"/>
    <w:rsid w:val="003203C6"/>
    <w:rsid w:val="0032458F"/>
    <w:rsid w:val="00325FC1"/>
    <w:rsid w:val="00332C98"/>
    <w:rsid w:val="00333AD5"/>
    <w:rsid w:val="00340AE6"/>
    <w:rsid w:val="00345563"/>
    <w:rsid w:val="00352FD6"/>
    <w:rsid w:val="00371E4C"/>
    <w:rsid w:val="003779A7"/>
    <w:rsid w:val="00383C77"/>
    <w:rsid w:val="0039208F"/>
    <w:rsid w:val="003C4B76"/>
    <w:rsid w:val="003D6259"/>
    <w:rsid w:val="00442803"/>
    <w:rsid w:val="004533D0"/>
    <w:rsid w:val="004B0B42"/>
    <w:rsid w:val="004B0FA7"/>
    <w:rsid w:val="004F39DD"/>
    <w:rsid w:val="00515DE9"/>
    <w:rsid w:val="00517E18"/>
    <w:rsid w:val="005245CE"/>
    <w:rsid w:val="005430CB"/>
    <w:rsid w:val="005501CE"/>
    <w:rsid w:val="00551687"/>
    <w:rsid w:val="00566492"/>
    <w:rsid w:val="00587218"/>
    <w:rsid w:val="00590A25"/>
    <w:rsid w:val="005A05EE"/>
    <w:rsid w:val="005A0F4F"/>
    <w:rsid w:val="005B4C1E"/>
    <w:rsid w:val="005D3709"/>
    <w:rsid w:val="005F080B"/>
    <w:rsid w:val="00617B93"/>
    <w:rsid w:val="00631685"/>
    <w:rsid w:val="0064234B"/>
    <w:rsid w:val="00644C31"/>
    <w:rsid w:val="00655093"/>
    <w:rsid w:val="00663BC8"/>
    <w:rsid w:val="006C3477"/>
    <w:rsid w:val="006D4F94"/>
    <w:rsid w:val="00733395"/>
    <w:rsid w:val="00733A23"/>
    <w:rsid w:val="00750853"/>
    <w:rsid w:val="0076317B"/>
    <w:rsid w:val="00772ABB"/>
    <w:rsid w:val="00772C3A"/>
    <w:rsid w:val="00772D57"/>
    <w:rsid w:val="0078062C"/>
    <w:rsid w:val="00795E7E"/>
    <w:rsid w:val="007C384C"/>
    <w:rsid w:val="007D2922"/>
    <w:rsid w:val="007E1656"/>
    <w:rsid w:val="007F5739"/>
    <w:rsid w:val="00825E50"/>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20FB6"/>
    <w:rsid w:val="009366B8"/>
    <w:rsid w:val="00937844"/>
    <w:rsid w:val="00950ADB"/>
    <w:rsid w:val="009812CE"/>
    <w:rsid w:val="00996259"/>
    <w:rsid w:val="0099759E"/>
    <w:rsid w:val="009D1F04"/>
    <w:rsid w:val="009D76A0"/>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B24871"/>
    <w:rsid w:val="00B306A1"/>
    <w:rsid w:val="00B664FF"/>
    <w:rsid w:val="00B779C2"/>
    <w:rsid w:val="00B82EB5"/>
    <w:rsid w:val="00B95D5D"/>
    <w:rsid w:val="00BA0567"/>
    <w:rsid w:val="00BA0C8B"/>
    <w:rsid w:val="00BA5277"/>
    <w:rsid w:val="00BC1370"/>
    <w:rsid w:val="00BC1BFA"/>
    <w:rsid w:val="00BC268B"/>
    <w:rsid w:val="00C15349"/>
    <w:rsid w:val="00C23A89"/>
    <w:rsid w:val="00C251B7"/>
    <w:rsid w:val="00C3111D"/>
    <w:rsid w:val="00C314DA"/>
    <w:rsid w:val="00C61BBC"/>
    <w:rsid w:val="00C727B6"/>
    <w:rsid w:val="00CC750D"/>
    <w:rsid w:val="00CD15B0"/>
    <w:rsid w:val="00CF5C24"/>
    <w:rsid w:val="00D01099"/>
    <w:rsid w:val="00D14E59"/>
    <w:rsid w:val="00D21AD2"/>
    <w:rsid w:val="00D23AE3"/>
    <w:rsid w:val="00D3611B"/>
    <w:rsid w:val="00D70140"/>
    <w:rsid w:val="00DB558D"/>
    <w:rsid w:val="00DC046C"/>
    <w:rsid w:val="00DD3DB3"/>
    <w:rsid w:val="00DD7C9B"/>
    <w:rsid w:val="00DE4410"/>
    <w:rsid w:val="00E0643E"/>
    <w:rsid w:val="00E10978"/>
    <w:rsid w:val="00E324C1"/>
    <w:rsid w:val="00E4405C"/>
    <w:rsid w:val="00E51AB5"/>
    <w:rsid w:val="00E86D81"/>
    <w:rsid w:val="00EA7708"/>
    <w:rsid w:val="00ED2D47"/>
    <w:rsid w:val="00EE7F20"/>
    <w:rsid w:val="00F03F17"/>
    <w:rsid w:val="00F23DC3"/>
    <w:rsid w:val="00F87B62"/>
    <w:rsid w:val="00FB06C0"/>
    <w:rsid w:val="00FC5E49"/>
    <w:rsid w:val="0F215F9E"/>
    <w:rsid w:val="690B0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86771683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89626651">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1370391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56375654">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ssuu.com/timespub/docs/afn_0428_book/32" TargetMode="External" Id="rId8" /><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hyperlink" Target="https://inbusinessphx.com/legal-regulations/contract-dispute-resolution-provisions-are-not-one-size-fits-all"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fennemorelaw.com/insights/newsletters/2021/arizona-enacts-covid-19-liability-shield-law"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https://www.fennemorelaw.com/insights/newsletters/2021/governor-ducey-bans-vaccine-passports-for-state-and-local-governments" TargetMode="External" Id="rId10" /><Relationship Type="http://schemas.openxmlformats.org/officeDocument/2006/relationships/webSettings" Target="webSettings.xml" Id="rId4" /><Relationship Type="http://schemas.openxmlformats.org/officeDocument/2006/relationships/hyperlink" Target="https://www.fennemorelaw.com/insights/newsletters/2021/arizona-enacts-covid-19-liability-protections-for-health-professionals"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18</revision>
  <lastPrinted>2021-01-06T16:25:00.0000000Z</lastPrinted>
  <dcterms:created xsi:type="dcterms:W3CDTF">2020-08-12T20:21:00.0000000Z</dcterms:created>
  <dcterms:modified xsi:type="dcterms:W3CDTF">2022-08-04T21:33:55.1172111Z</dcterms:modified>
</coreProperties>
</file>