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3856"/>
        <w:tblW w:w="102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99"/>
      </w:tblGrid>
      <w:tr w:rsidR="008700A0" w:rsidTr="6A459C4A" w14:paraId="3E2643B7" w14:textId="77777777">
        <w:trPr>
          <w:trHeight w:val="579"/>
        </w:trPr>
        <w:tc>
          <w:tcPr>
            <w:tcW w:w="10299" w:type="dxa"/>
            <w:tcMar/>
          </w:tcPr>
          <w:p w:rsidRPr="00E86700" w:rsidR="00E86700" w:rsidP="00E86700" w:rsidRDefault="00E86700" w14:paraId="25DD7933" w14:textId="77777777">
            <w:pPr>
              <w:rPr>
                <w:rFonts w:cs="Century Gothic Light"/>
                <w:color w:val="09223F"/>
              </w:rPr>
            </w:pPr>
            <w:r w:rsidRPr="00E86700">
              <w:rPr>
                <w:rFonts w:cs="Century Gothic Light"/>
                <w:color w:val="09223F"/>
              </w:rPr>
              <w:t>Jessica practices in the areas of labor and employment, and complex business litigation. She assists companies in employment discrimination, wage and hour, restrictive covenant and trade theft matters. For those clients, Jessica focuses on employment discrimination and wrongful termination litigation, representing clients before various state and federal courts and administrative agencies. She has defended employers in wage and hour class actions in both state and federal court, including cases involving missed meal and break periods and misclassification of employees.</w:t>
            </w:r>
          </w:p>
          <w:p w:rsidRPr="00E86700" w:rsidR="00E86700" w:rsidP="00E86700" w:rsidRDefault="00E86700" w14:paraId="3C7F5C5D" w14:textId="77777777">
            <w:pPr>
              <w:rPr>
                <w:rFonts w:cs="Century Gothic Light"/>
                <w:color w:val="09223F"/>
              </w:rPr>
            </w:pPr>
          </w:p>
          <w:p w:rsidRPr="00E86700" w:rsidR="00E86700" w:rsidP="00E86700" w:rsidRDefault="00E86700" w14:paraId="7D073685" w14:textId="77777777">
            <w:pPr>
              <w:rPr>
                <w:rFonts w:cs="Century Gothic Light"/>
                <w:color w:val="09223F"/>
              </w:rPr>
            </w:pPr>
            <w:r w:rsidRPr="00E86700">
              <w:rPr>
                <w:rFonts w:cs="Century Gothic Light"/>
                <w:color w:val="09223F"/>
              </w:rPr>
              <w:t>She has represented companies at trials, mediations and arbitrations. In proactive measures to ideally prevent such situations, Jessica works closely with human resources professionals to ensure clients comply with applicable state and federal labor laws.</w:t>
            </w:r>
          </w:p>
          <w:p w:rsidRPr="00E86700" w:rsidR="00E86700" w:rsidP="00E86700" w:rsidRDefault="00E86700" w14:paraId="18C38B3F" w14:textId="77777777">
            <w:pPr>
              <w:rPr>
                <w:rFonts w:cs="Century Gothic Light"/>
                <w:color w:val="09223F"/>
              </w:rPr>
            </w:pPr>
          </w:p>
          <w:p w:rsidRPr="003779A7" w:rsidR="008700A0" w:rsidP="00E86700" w:rsidRDefault="00E86700" w14:paraId="39C10D41" w14:textId="20C1BE57">
            <w:pPr>
              <w:rPr>
                <w:rFonts w:cs="Century Gothic Light"/>
                <w:color w:val="09223F"/>
              </w:rPr>
            </w:pPr>
            <w:r w:rsidRPr="00E86700">
              <w:rPr>
                <w:rFonts w:cs="Century Gothic Light"/>
                <w:color w:val="09223F"/>
              </w:rPr>
              <w:t>For her complex commercial litigation practice, Jessica handles legal malpractice defense cases, as well as cases that involve both commercial and employment related issues.</w:t>
            </w:r>
          </w:p>
        </w:tc>
      </w:tr>
      <w:tr w:rsidR="008700A0" w:rsidTr="6A459C4A" w14:paraId="7B190A89" w14:textId="77777777">
        <w:trPr>
          <w:trHeight w:val="579"/>
        </w:trPr>
        <w:tc>
          <w:tcPr>
            <w:tcW w:w="10299" w:type="dxa"/>
            <w:tcMar/>
          </w:tcPr>
          <w:p w:rsidR="008700A0" w:rsidP="008700A0" w:rsidRDefault="008700A0" w14:paraId="5D0099CC" w14:textId="77777777">
            <w:pPr>
              <w:pStyle w:val="BasicParagraph"/>
              <w:suppressAutoHyphens/>
              <w:spacing w:line="240" w:lineRule="auto"/>
              <w:rPr>
                <w:rFonts w:ascii="Century Gothic Light" w:hAnsi="Century Gothic Light" w:cs="Century Gothic Light"/>
                <w:color w:val="09223F"/>
                <w:sz w:val="22"/>
                <w:szCs w:val="22"/>
              </w:rPr>
            </w:pPr>
          </w:p>
        </w:tc>
      </w:tr>
      <w:tr w:rsidR="008700A0" w:rsidTr="6A459C4A" w14:paraId="42185E66" w14:textId="77777777">
        <w:trPr>
          <w:trHeight w:val="357"/>
        </w:trPr>
        <w:tc>
          <w:tcPr>
            <w:tcW w:w="10299" w:type="dxa"/>
            <w:tcMar/>
          </w:tcPr>
          <w:p w:rsidRPr="00996259" w:rsidR="008700A0" w:rsidP="008700A0" w:rsidRDefault="008700A0" w14:paraId="0AB62B66" w14:textId="77777777">
            <w:pPr>
              <w:pStyle w:val="BasicParagraph"/>
              <w:rPr>
                <w:rFonts w:ascii="Century Gothic Light" w:hAnsi="Century Gothic Light" w:cs="Century Gothic Light"/>
                <w:caps/>
                <w:color w:val="F5821F"/>
                <w:sz w:val="28"/>
                <w:szCs w:val="32"/>
              </w:rPr>
            </w:pPr>
            <w:r w:rsidRPr="00996259">
              <w:rPr>
                <w:rFonts w:ascii="Century Gothic Light" w:hAnsi="Century Gothic Light" w:cs="Century Gothic Light"/>
                <w:caps/>
                <w:color w:val="F5821F"/>
                <w:sz w:val="28"/>
                <w:szCs w:val="32"/>
              </w:rPr>
              <w:t>EDUCATION</w:t>
            </w:r>
          </w:p>
          <w:p w:rsidRPr="00E86700" w:rsidR="00E86700" w:rsidP="00E86700" w:rsidRDefault="00E86700" w14:paraId="55FDBCC5"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86700">
              <w:rPr>
                <w:rFonts w:ascii="Century Gothic Light" w:hAnsi="Century Gothic Light" w:cs="Century Gothic Light"/>
                <w:color w:val="09223F"/>
                <w:sz w:val="22"/>
                <w:szCs w:val="22"/>
              </w:rPr>
              <w:t xml:space="preserve">J.D., </w:t>
            </w:r>
            <w:r w:rsidRPr="00E86700">
              <w:rPr>
                <w:rFonts w:ascii="Century Gothic Light" w:hAnsi="Century Gothic Light" w:cs="Century Gothic Light"/>
                <w:i/>
                <w:iCs/>
                <w:color w:val="09223F"/>
                <w:sz w:val="22"/>
                <w:szCs w:val="22"/>
              </w:rPr>
              <w:t>summa cum laude,</w:t>
            </w:r>
            <w:r w:rsidRPr="00E86700">
              <w:rPr>
                <w:rFonts w:ascii="Century Gothic Light" w:hAnsi="Century Gothic Light" w:cs="Century Gothic Light"/>
                <w:color w:val="09223F"/>
                <w:sz w:val="22"/>
                <w:szCs w:val="22"/>
              </w:rPr>
              <w:t xml:space="preserve"> University of Arizona, James E. Rogers College of Law</w:t>
            </w:r>
          </w:p>
          <w:p w:rsidRPr="00E86700" w:rsidR="00E86700" w:rsidP="00E86700" w:rsidRDefault="00E86700" w14:paraId="023FA591"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86700">
              <w:rPr>
                <w:rFonts w:ascii="Century Gothic Light" w:hAnsi="Century Gothic Light" w:cs="Century Gothic Light"/>
                <w:color w:val="09223F"/>
                <w:sz w:val="22"/>
                <w:szCs w:val="22"/>
              </w:rPr>
              <w:t>A.B., Dartmouth College</w:t>
            </w:r>
          </w:p>
          <w:p w:rsidRPr="00E86700" w:rsidR="00E86700" w:rsidP="00E86700" w:rsidRDefault="00E86700" w14:paraId="5EBF508A"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86700">
              <w:rPr>
                <w:rFonts w:ascii="Century Gothic Light" w:hAnsi="Century Gothic Light" w:cs="Century Gothic Light"/>
                <w:color w:val="09223F"/>
                <w:sz w:val="22"/>
                <w:szCs w:val="22"/>
              </w:rPr>
              <w:t>Order of the Coif</w:t>
            </w:r>
          </w:p>
          <w:p w:rsidRPr="00551687" w:rsidR="00AB20C4" w:rsidP="00E86700" w:rsidRDefault="00E86700" w14:paraId="3BF85D19" w14:textId="6C81A60F">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86700">
              <w:rPr>
                <w:rFonts w:ascii="Century Gothic Light" w:hAnsi="Century Gothic Light" w:cs="Century Gothic Light"/>
                <w:color w:val="09223F"/>
                <w:sz w:val="22"/>
                <w:szCs w:val="22"/>
              </w:rPr>
              <w:t xml:space="preserve">Editor-in Chief, </w:t>
            </w:r>
            <w:r w:rsidRPr="00E86700">
              <w:rPr>
                <w:rFonts w:ascii="Century Gothic Light" w:hAnsi="Century Gothic Light" w:cs="Century Gothic Light"/>
                <w:i/>
                <w:iCs/>
                <w:color w:val="09223F"/>
                <w:sz w:val="22"/>
                <w:szCs w:val="22"/>
              </w:rPr>
              <w:t>Arizona Law Review,</w:t>
            </w:r>
            <w:r w:rsidRPr="00E86700">
              <w:rPr>
                <w:rFonts w:ascii="Century Gothic Light" w:hAnsi="Century Gothic Light" w:cs="Century Gothic Light"/>
                <w:color w:val="09223F"/>
                <w:sz w:val="22"/>
                <w:szCs w:val="22"/>
              </w:rPr>
              <w:t xml:space="preserve"> University of Arizona, 2005</w:t>
            </w:r>
          </w:p>
        </w:tc>
      </w:tr>
      <w:tr w:rsidR="00DE4410" w:rsidTr="6A459C4A" w14:paraId="5AA1B251" w14:textId="77777777">
        <w:trPr>
          <w:trHeight w:val="288"/>
        </w:trPr>
        <w:tc>
          <w:tcPr>
            <w:tcW w:w="10299" w:type="dxa"/>
            <w:tcMar/>
          </w:tcPr>
          <w:p w:rsidRPr="008F5DD7" w:rsidR="00DE4410" w:rsidP="008700A0" w:rsidRDefault="00DE4410" w14:paraId="57BF22AA" w14:textId="77777777">
            <w:pPr>
              <w:pStyle w:val="BasicParagraph"/>
              <w:rPr>
                <w:rFonts w:ascii="Century Gothic Light" w:hAnsi="Century Gothic Light" w:cs="Century Gothic Light"/>
                <w:caps/>
                <w:color w:val="F5821F"/>
                <w:szCs w:val="28"/>
              </w:rPr>
            </w:pPr>
          </w:p>
        </w:tc>
      </w:tr>
      <w:tr w:rsidR="00996259" w:rsidTr="6A459C4A" w14:paraId="26225FC7" w14:textId="77777777">
        <w:trPr>
          <w:trHeight w:val="360"/>
        </w:trPr>
        <w:tc>
          <w:tcPr>
            <w:tcW w:w="10299" w:type="dxa"/>
            <w:tcMar/>
          </w:tcPr>
          <w:p w:rsidRPr="00996259" w:rsidR="00996259" w:rsidP="00996259" w:rsidRDefault="00996259" w14:paraId="3BEA527C" w14:textId="77777777">
            <w:pPr>
              <w:pStyle w:val="BasicParagraph"/>
              <w:rPr>
                <w:rFonts w:ascii="Century Gothic Light" w:hAnsi="Century Gothic Light" w:cs="Century Gothic Light"/>
                <w:caps/>
                <w:color w:val="F5821F"/>
                <w:sz w:val="28"/>
                <w:szCs w:val="32"/>
              </w:rPr>
            </w:pPr>
            <w:r w:rsidRPr="00996259">
              <w:rPr>
                <w:rFonts w:ascii="Century Gothic Light" w:hAnsi="Century Gothic Light" w:cs="Century Gothic Light"/>
                <w:caps/>
                <w:color w:val="F5821F"/>
                <w:sz w:val="28"/>
                <w:szCs w:val="32"/>
              </w:rPr>
              <w:t>AREAS OF PRACTICE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6"/>
              <w:gridCol w:w="5037"/>
            </w:tblGrid>
            <w:tr w:rsidR="00000DAC" w:rsidTr="008129B7" w14:paraId="2FD63DE2" w14:textId="77777777">
              <w:trPr>
                <w:trHeight w:val="195"/>
              </w:trPr>
              <w:tc>
                <w:tcPr>
                  <w:tcW w:w="5036" w:type="dxa"/>
                </w:tcPr>
                <w:p w:rsidR="00324613" w:rsidP="00EC219B" w:rsidRDefault="00324613" w14:paraId="73B6F031" w14:textId="77777777">
                  <w:pPr>
                    <w:pStyle w:val="BasicParagraph"/>
                    <w:framePr w:hSpace="180" w:wrap="around" w:hAnchor="margin" w:vAnchor="text" w:xAlign="right" w:y="3856"/>
                    <w:numPr>
                      <w:ilvl w:val="0"/>
                      <w:numId w:val="1"/>
                    </w:numPr>
                    <w:suppressAutoHyphens/>
                    <w:spacing w:line="240" w:lineRule="auto"/>
                    <w:ind w:left="615"/>
                    <w:rPr>
                      <w:rFonts w:ascii="Century Gothic Light" w:hAnsi="Century Gothic Light" w:cs="Century Gothic Light"/>
                      <w:color w:val="09223F"/>
                      <w:sz w:val="22"/>
                      <w:szCs w:val="22"/>
                    </w:rPr>
                  </w:pPr>
                  <w:r>
                    <w:rPr>
                      <w:rFonts w:ascii="Century Gothic Light" w:hAnsi="Century Gothic Light" w:cs="Century Gothic Light"/>
                      <w:color w:val="09223F"/>
                      <w:sz w:val="22"/>
                      <w:szCs w:val="22"/>
                    </w:rPr>
                    <w:t>Business Litigation</w:t>
                  </w:r>
                </w:p>
                <w:p w:rsidRPr="0013703F" w:rsidR="00E86700" w:rsidP="00EC219B" w:rsidRDefault="00E86700" w14:paraId="6A22E23D" w14:textId="102554D2">
                  <w:pPr>
                    <w:pStyle w:val="BasicParagraph"/>
                    <w:framePr w:hSpace="180" w:wrap="around" w:hAnchor="margin" w:vAnchor="text" w:xAlign="right" w:y="3856"/>
                    <w:numPr>
                      <w:ilvl w:val="0"/>
                      <w:numId w:val="1"/>
                    </w:numPr>
                    <w:suppressAutoHyphens/>
                    <w:spacing w:line="240" w:lineRule="auto"/>
                    <w:ind w:left="615"/>
                    <w:rPr>
                      <w:rFonts w:ascii="Century Gothic Light" w:hAnsi="Century Gothic Light" w:cs="Century Gothic Light"/>
                      <w:color w:val="09223F"/>
                      <w:sz w:val="22"/>
                      <w:szCs w:val="22"/>
                    </w:rPr>
                  </w:pPr>
                  <w:r>
                    <w:rPr>
                      <w:rFonts w:ascii="Century Gothic Light" w:hAnsi="Century Gothic Light" w:cs="Century Gothic Light"/>
                      <w:color w:val="09223F"/>
                      <w:sz w:val="22"/>
                      <w:szCs w:val="22"/>
                    </w:rPr>
                    <w:t>Commercial Contingency Litigation</w:t>
                  </w:r>
                </w:p>
              </w:tc>
              <w:tc>
                <w:tcPr>
                  <w:tcW w:w="5037" w:type="dxa"/>
                </w:tcPr>
                <w:p w:rsidR="006B14E5" w:rsidP="00EC219B" w:rsidRDefault="00324613" w14:paraId="2C869553" w14:textId="77777777">
                  <w:pPr>
                    <w:pStyle w:val="BasicParagraph"/>
                    <w:framePr w:hSpace="180" w:wrap="around" w:hAnchor="margin" w:vAnchor="text" w:xAlign="right" w:y="3856"/>
                    <w:numPr>
                      <w:ilvl w:val="0"/>
                      <w:numId w:val="1"/>
                    </w:numPr>
                    <w:suppressAutoHyphens/>
                    <w:spacing w:line="240" w:lineRule="auto"/>
                    <w:ind w:left="615"/>
                    <w:rPr>
                      <w:rFonts w:ascii="Century Gothic Light" w:hAnsi="Century Gothic Light" w:cs="Century Gothic Light"/>
                      <w:color w:val="09223F"/>
                      <w:sz w:val="22"/>
                      <w:szCs w:val="22"/>
                    </w:rPr>
                  </w:pPr>
                  <w:r>
                    <w:rPr>
                      <w:rFonts w:ascii="Century Gothic Light" w:hAnsi="Century Gothic Light" w:cs="Century Gothic Light"/>
                      <w:color w:val="09223F"/>
                      <w:sz w:val="22"/>
                      <w:szCs w:val="22"/>
                    </w:rPr>
                    <w:t>Employment and Labor</w:t>
                  </w:r>
                </w:p>
                <w:p w:rsidRPr="00442803" w:rsidR="00324613" w:rsidP="00EC219B" w:rsidRDefault="00324613" w14:paraId="22A85BCB" w14:textId="3497AEDB">
                  <w:pPr>
                    <w:pStyle w:val="BasicParagraph"/>
                    <w:framePr w:hSpace="180" w:wrap="around" w:hAnchor="margin" w:vAnchor="text" w:xAlign="right" w:y="3856"/>
                    <w:numPr>
                      <w:ilvl w:val="0"/>
                      <w:numId w:val="1"/>
                    </w:numPr>
                    <w:suppressAutoHyphens/>
                    <w:spacing w:line="240" w:lineRule="auto"/>
                    <w:ind w:left="615"/>
                    <w:rPr>
                      <w:rFonts w:ascii="Century Gothic Light" w:hAnsi="Century Gothic Light" w:cs="Century Gothic Light"/>
                      <w:color w:val="09223F"/>
                      <w:sz w:val="22"/>
                      <w:szCs w:val="22"/>
                    </w:rPr>
                  </w:pPr>
                  <w:r>
                    <w:rPr>
                      <w:rFonts w:ascii="Century Gothic Light" w:hAnsi="Century Gothic Light" w:cs="Century Gothic Light"/>
                      <w:color w:val="09223F"/>
                      <w:sz w:val="22"/>
                      <w:szCs w:val="22"/>
                    </w:rPr>
                    <w:t>Litigation</w:t>
                  </w:r>
                </w:p>
              </w:tc>
            </w:tr>
          </w:tbl>
          <w:p w:rsidR="00996259" w:rsidP="008700A0" w:rsidRDefault="00996259" w14:paraId="4910D759" w14:textId="77777777">
            <w:pPr>
              <w:pStyle w:val="BasicParagraph"/>
              <w:rPr>
                <w:rFonts w:ascii="Century Gothic Light" w:hAnsi="Century Gothic Light" w:cs="Century Gothic Light"/>
                <w:caps/>
                <w:color w:val="F5821F"/>
                <w:sz w:val="32"/>
                <w:szCs w:val="32"/>
              </w:rPr>
            </w:pPr>
          </w:p>
        </w:tc>
      </w:tr>
      <w:tr w:rsidR="00442803" w:rsidTr="6A459C4A" w14:paraId="2588823C" w14:textId="77777777">
        <w:trPr>
          <w:trHeight w:val="288"/>
        </w:trPr>
        <w:tc>
          <w:tcPr>
            <w:tcW w:w="10299" w:type="dxa"/>
            <w:tcMar/>
          </w:tcPr>
          <w:p w:rsidRPr="008F5DD7" w:rsidR="00442803" w:rsidP="00996259" w:rsidRDefault="00442803" w14:paraId="17F177AA" w14:textId="77777777">
            <w:pPr>
              <w:pStyle w:val="BasicParagraph"/>
              <w:rPr>
                <w:rFonts w:ascii="Century Gothic Light" w:hAnsi="Century Gothic Light" w:cs="Century Gothic Light"/>
                <w:caps/>
                <w:color w:val="F5821F"/>
                <w:szCs w:val="28"/>
              </w:rPr>
            </w:pPr>
          </w:p>
        </w:tc>
      </w:tr>
      <w:tr w:rsidR="00E86700" w:rsidTr="6A459C4A" w14:paraId="1E65FABB" w14:textId="77777777">
        <w:trPr>
          <w:trHeight w:val="288"/>
        </w:trPr>
        <w:tc>
          <w:tcPr>
            <w:tcW w:w="10299" w:type="dxa"/>
            <w:tcMar/>
          </w:tcPr>
          <w:p w:rsidRPr="00996259" w:rsidR="00E86700" w:rsidP="00E86700" w:rsidRDefault="00E86700" w14:paraId="4B257D51" w14:textId="1546CB06">
            <w:pPr>
              <w:pStyle w:val="BasicParagraph"/>
              <w:rPr>
                <w:rFonts w:ascii="Century Gothic Light" w:hAnsi="Century Gothic Light" w:cs="Century Gothic Light"/>
                <w:caps/>
                <w:color w:val="F5821F"/>
                <w:sz w:val="28"/>
                <w:szCs w:val="32"/>
              </w:rPr>
            </w:pPr>
            <w:r>
              <w:rPr>
                <w:rFonts w:ascii="Century Gothic Light" w:hAnsi="Century Gothic Light" w:cs="Century Gothic Light"/>
                <w:caps/>
                <w:color w:val="F5821F"/>
                <w:sz w:val="28"/>
                <w:szCs w:val="32"/>
              </w:rPr>
              <w:t>representative cases</w:t>
            </w:r>
          </w:p>
          <w:p w:rsidRPr="00E86700" w:rsidR="00E86700" w:rsidP="00E86700" w:rsidRDefault="00E86700" w14:paraId="3E68CFC6"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86700">
              <w:rPr>
                <w:rFonts w:ascii="Century Gothic Light" w:hAnsi="Century Gothic Light" w:cs="Century Gothic Light"/>
                <w:color w:val="09223F"/>
                <w:sz w:val="22"/>
                <w:szCs w:val="22"/>
              </w:rPr>
              <w:t>In 2016, served as co-counsel in a four-week legal malpractice case and secured a unanimous jury verdict in favor of the defendant law firm.</w:t>
            </w:r>
          </w:p>
          <w:p w:rsidRPr="00E86700" w:rsidR="00E86700" w:rsidP="00E86700" w:rsidRDefault="00E86700" w14:paraId="55F7A8F5"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86700">
              <w:rPr>
                <w:rFonts w:ascii="Century Gothic Light" w:hAnsi="Century Gothic Light" w:cs="Century Gothic Light"/>
                <w:color w:val="09223F"/>
                <w:sz w:val="22"/>
                <w:szCs w:val="22"/>
              </w:rPr>
              <w:lastRenderedPageBreak/>
              <w:t>In 2015, represented large employer in AAA arbitration in a wrongful discrimination claim being asserted by a former employee. Secured a decision in favor of the employer.</w:t>
            </w:r>
          </w:p>
          <w:p w:rsidRPr="00E86700" w:rsidR="00E86700" w:rsidP="00E86700" w:rsidRDefault="00E86700" w14:paraId="1919AA87"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86700">
              <w:rPr>
                <w:rFonts w:ascii="Century Gothic Light" w:hAnsi="Century Gothic Light" w:cs="Century Gothic Light"/>
                <w:color w:val="09223F"/>
                <w:sz w:val="22"/>
                <w:szCs w:val="22"/>
              </w:rPr>
              <w:t>In 2013, represented large employer in AAA arbitration where employee was claiming to have been wrongfully terminated. Secured decision in favor of the employer.</w:t>
            </w:r>
          </w:p>
          <w:p w:rsidRPr="00E86700" w:rsidR="00E86700" w:rsidP="00E86700" w:rsidRDefault="00E86700" w14:paraId="08AFC9A0"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86700">
              <w:rPr>
                <w:rFonts w:ascii="Century Gothic Light" w:hAnsi="Century Gothic Light" w:cs="Century Gothic Light"/>
                <w:color w:val="09223F"/>
                <w:sz w:val="22"/>
                <w:szCs w:val="22"/>
              </w:rPr>
              <w:t>Served as co-counsel at a three-day bench trial in Arizona district court, representing an airline against a claim brought by two former employees who were claiming that the company violated the Family and Medical Leave Act when it terminated them for abusing its sick leave policy; examined and cross-examined witnesses; received a complete defense verdict. (Ariz. Federal Court 2011).</w:t>
            </w:r>
          </w:p>
          <w:p w:rsidRPr="00E86700" w:rsidR="00E86700" w:rsidP="00E86700" w:rsidRDefault="00E86700" w14:paraId="5AD6A4AA"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86700">
              <w:rPr>
                <w:rFonts w:ascii="Century Gothic Light" w:hAnsi="Century Gothic Light" w:cs="Century Gothic Light"/>
                <w:color w:val="09223F"/>
                <w:sz w:val="22"/>
                <w:szCs w:val="22"/>
              </w:rPr>
              <w:t>Served as co-counsel at week-long trial in Minnesota federal district court, representing mine operator against discrimination claims brought by private plaintiff and the EEOC; examined and cross-examined witnesses and successfully argued directed verdict motion on punitive damages; jury returned complete defense verdict. (Minn. Federal Court 2009-10).</w:t>
            </w:r>
          </w:p>
          <w:p w:rsidRPr="00E86700" w:rsidR="00E86700" w:rsidP="00E86700" w:rsidRDefault="00E86700" w14:paraId="7777E7AB"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86700">
              <w:rPr>
                <w:rFonts w:ascii="Century Gothic Light" w:hAnsi="Century Gothic Light" w:cs="Century Gothic Light"/>
                <w:color w:val="09223F"/>
                <w:sz w:val="22"/>
                <w:szCs w:val="22"/>
              </w:rPr>
              <w:t>Represented dental practice in pregnancy discrimination lawsuit brought by former employee; drafted summary judgment motion and secured dismissal (Ariz. Federal Court 2010).</w:t>
            </w:r>
          </w:p>
          <w:p w:rsidRPr="00E86700" w:rsidR="00E86700" w:rsidP="00E86700" w:rsidRDefault="00E86700" w14:paraId="4DFF8A20"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86700">
              <w:rPr>
                <w:rFonts w:ascii="Century Gothic Light" w:hAnsi="Century Gothic Light" w:cs="Century Gothic Light"/>
                <w:color w:val="09223F"/>
                <w:sz w:val="22"/>
                <w:szCs w:val="22"/>
              </w:rPr>
              <w:t>Represented national pet distributor in multi-party lawsuit in federal district court alleging deceptive business practice and RICO claims. Drafted successful motion to dismiss (Ariz. Federal Court 2009).</w:t>
            </w:r>
          </w:p>
          <w:p w:rsidRPr="00E86700" w:rsidR="00E86700" w:rsidP="00E86700" w:rsidRDefault="00E86700" w14:paraId="5F62C2F7"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86700">
              <w:rPr>
                <w:rFonts w:ascii="Century Gothic Light" w:hAnsi="Century Gothic Light" w:cs="Century Gothic Light"/>
                <w:color w:val="09223F"/>
                <w:sz w:val="22"/>
                <w:szCs w:val="22"/>
              </w:rPr>
              <w:t>Represented an international telecommunications provider in a fraud and negligence case involving over $50 million in asserted damages. Took and defended multiple depositions; managed the document collection and production; and oversaw the review of over 100,000 documents, including both paper and electronic documents (Cal. State Ct., 2006-2009).</w:t>
            </w:r>
          </w:p>
          <w:p w:rsidRPr="00E86700" w:rsidR="00E86700" w:rsidP="00E86700" w:rsidRDefault="00E86700" w14:paraId="6ADE79A9"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86700">
              <w:rPr>
                <w:rFonts w:ascii="Century Gothic Light" w:hAnsi="Century Gothic Light" w:cs="Century Gothic Light"/>
                <w:color w:val="09223F"/>
                <w:sz w:val="22"/>
                <w:szCs w:val="22"/>
              </w:rPr>
              <w:t>Represented a high-end hotel chain in a large class action involving claims under California’s wage-and-hour statutes. Helped obtain a favorable settlement in mediation (Cal. State Ct., 2008).</w:t>
            </w:r>
          </w:p>
          <w:p w:rsidRPr="00E86700" w:rsidR="00E86700" w:rsidP="00E86700" w:rsidRDefault="00E86700" w14:paraId="73EE32DD"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86700">
              <w:rPr>
                <w:rFonts w:ascii="Century Gothic Light" w:hAnsi="Century Gothic Light" w:cs="Century Gothic Light"/>
                <w:color w:val="09223F"/>
                <w:sz w:val="22"/>
                <w:szCs w:val="22"/>
              </w:rPr>
              <w:t xml:space="preserve">Briefed and argued an appeal to the Ninth Circuit in a pro bono immigration matter. Persuaded the court to reverse in favor of client. </w:t>
            </w:r>
            <w:r w:rsidRPr="00206C25">
              <w:rPr>
                <w:rFonts w:ascii="Century Gothic Light" w:hAnsi="Century Gothic Light" w:cs="Century Gothic Light"/>
                <w:i/>
                <w:iCs/>
                <w:color w:val="09223F"/>
                <w:sz w:val="22"/>
                <w:szCs w:val="22"/>
              </w:rPr>
              <w:t xml:space="preserve">Holder v. </w:t>
            </w:r>
            <w:proofErr w:type="spellStart"/>
            <w:r w:rsidRPr="00206C25">
              <w:rPr>
                <w:rFonts w:ascii="Century Gothic Light" w:hAnsi="Century Gothic Light" w:cs="Century Gothic Light"/>
                <w:i/>
                <w:iCs/>
                <w:color w:val="09223F"/>
                <w:sz w:val="22"/>
                <w:szCs w:val="22"/>
              </w:rPr>
              <w:t>Ulanday</w:t>
            </w:r>
            <w:proofErr w:type="spellEnd"/>
            <w:r w:rsidRPr="00E86700">
              <w:rPr>
                <w:rFonts w:ascii="Century Gothic Light" w:hAnsi="Century Gothic Light" w:cs="Century Gothic Light"/>
                <w:color w:val="09223F"/>
                <w:sz w:val="22"/>
                <w:szCs w:val="22"/>
              </w:rPr>
              <w:t>, Case No. 04-73479 (9th Cir. 2009).</w:t>
            </w:r>
          </w:p>
          <w:p w:rsidRPr="00E86700" w:rsidR="00E86700" w:rsidP="00E86700" w:rsidRDefault="00E86700" w14:paraId="14224CD6"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86700">
              <w:rPr>
                <w:rFonts w:ascii="Century Gothic Light" w:hAnsi="Century Gothic Light" w:cs="Century Gothic Light"/>
                <w:color w:val="09223F"/>
                <w:sz w:val="22"/>
                <w:szCs w:val="22"/>
              </w:rPr>
              <w:t>Represented an international chocolate manufacturer in a class action involving claims under state wage-and-hour laws as well as under the Fair Labor Standards Act (N.D. Cal., 2008).</w:t>
            </w:r>
          </w:p>
          <w:p w:rsidRPr="00E86700" w:rsidR="00E86700" w:rsidP="00E86700" w:rsidRDefault="00E86700" w14:paraId="02EA6DA9"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86700">
              <w:rPr>
                <w:rFonts w:ascii="Century Gothic Light" w:hAnsi="Century Gothic Light" w:cs="Century Gothic Light"/>
                <w:color w:val="09223F"/>
                <w:sz w:val="22"/>
                <w:szCs w:val="22"/>
              </w:rPr>
              <w:t>Successfully represented a film distribution company and its owner in challenging an illegal search and seizure conducted by FBI agents (C.D. Cal., 2007).</w:t>
            </w:r>
          </w:p>
          <w:p w:rsidR="009467F1" w:rsidP="009467F1" w:rsidRDefault="00E86700" w14:paraId="0E67B4CD"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86700">
              <w:rPr>
                <w:rFonts w:ascii="Century Gothic Light" w:hAnsi="Century Gothic Light" w:cs="Century Gothic Light"/>
                <w:color w:val="09223F"/>
                <w:sz w:val="22"/>
                <w:szCs w:val="22"/>
              </w:rPr>
              <w:t>Represented high-end supermarket chain in an EEOC discrimination proceeding involving claims of age and race discrimination. Obtained favorable result following mediation (EEOC, 2008).</w:t>
            </w:r>
          </w:p>
          <w:p w:rsidRPr="009467F1" w:rsidR="00E86700" w:rsidP="009467F1" w:rsidRDefault="00E86700" w14:paraId="737D0642" w14:textId="5CB7B355">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color w:val="09223F"/>
                <w:sz w:val="22"/>
                <w:szCs w:val="22"/>
              </w:rPr>
              <w:t>Represented high-end supermarket chain in a disability discrimination lawsuit. Obtained favorable settlement (Cal. State Ct., 2008).</w:t>
            </w:r>
          </w:p>
        </w:tc>
      </w:tr>
      <w:tr w:rsidR="00E86700" w:rsidTr="6A459C4A" w14:paraId="74B2DD5B" w14:textId="77777777">
        <w:trPr>
          <w:trHeight w:val="288"/>
        </w:trPr>
        <w:tc>
          <w:tcPr>
            <w:tcW w:w="10299" w:type="dxa"/>
            <w:tcMar/>
          </w:tcPr>
          <w:p w:rsidRPr="008F5DD7" w:rsidR="00E86700" w:rsidP="00996259" w:rsidRDefault="00E86700" w14:paraId="3514A962" w14:textId="77777777">
            <w:pPr>
              <w:pStyle w:val="BasicParagraph"/>
              <w:rPr>
                <w:rFonts w:ascii="Century Gothic Light" w:hAnsi="Century Gothic Light" w:cs="Century Gothic Light"/>
                <w:caps/>
                <w:color w:val="F5821F"/>
                <w:szCs w:val="28"/>
              </w:rPr>
            </w:pPr>
          </w:p>
        </w:tc>
      </w:tr>
      <w:tr w:rsidR="00706534" w:rsidTr="6A459C4A" w14:paraId="08295A26" w14:textId="77777777">
        <w:trPr>
          <w:trHeight w:val="288"/>
        </w:trPr>
        <w:tc>
          <w:tcPr>
            <w:tcW w:w="10299" w:type="dxa"/>
            <w:tcMar/>
          </w:tcPr>
          <w:p w:rsidRPr="00996259" w:rsidR="00706534" w:rsidP="00706534" w:rsidRDefault="00324613" w14:paraId="064126AB" w14:textId="0E68F4A8">
            <w:pPr>
              <w:pStyle w:val="BasicParagraph"/>
              <w:rPr>
                <w:rFonts w:ascii="Century Gothic Light" w:hAnsi="Century Gothic Light" w:cs="Century Gothic Light"/>
                <w:caps/>
                <w:color w:val="F5821F"/>
                <w:sz w:val="28"/>
                <w:szCs w:val="32"/>
              </w:rPr>
            </w:pPr>
            <w:r>
              <w:rPr>
                <w:rFonts w:ascii="Century Gothic Light" w:hAnsi="Century Gothic Light" w:cs="Century Gothic Light"/>
                <w:caps/>
                <w:color w:val="F5821F"/>
                <w:sz w:val="28"/>
                <w:szCs w:val="32"/>
              </w:rPr>
              <w:lastRenderedPageBreak/>
              <w:t>awards and honors</w:t>
            </w:r>
          </w:p>
          <w:p w:rsidRPr="009467F1" w:rsidR="009467F1" w:rsidP="009467F1" w:rsidRDefault="009467F1" w14:paraId="388C1EDF"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i/>
                <w:iCs/>
                <w:color w:val="09223F"/>
                <w:sz w:val="22"/>
                <w:szCs w:val="22"/>
              </w:rPr>
              <w:t>Benchmark Litigation,</w:t>
            </w:r>
            <w:r w:rsidRPr="009467F1">
              <w:rPr>
                <w:rFonts w:ascii="Century Gothic Light" w:hAnsi="Century Gothic Light" w:cs="Century Gothic Light"/>
                <w:color w:val="09223F"/>
                <w:sz w:val="22"/>
                <w:szCs w:val="22"/>
              </w:rPr>
              <w:t xml:space="preserve"> Future Star, 2019</w:t>
            </w:r>
          </w:p>
          <w:p w:rsidRPr="009467F1" w:rsidR="009467F1" w:rsidP="009467F1" w:rsidRDefault="009467F1" w14:paraId="72891CFC"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color w:val="09223F"/>
                <w:sz w:val="22"/>
                <w:szCs w:val="22"/>
              </w:rPr>
              <w:t xml:space="preserve">Most Influential Women, </w:t>
            </w:r>
            <w:r w:rsidRPr="009467F1">
              <w:rPr>
                <w:rFonts w:ascii="Century Gothic Light" w:hAnsi="Century Gothic Light" w:cs="Century Gothic Light"/>
                <w:i/>
                <w:iCs/>
                <w:color w:val="09223F"/>
                <w:sz w:val="22"/>
                <w:szCs w:val="22"/>
              </w:rPr>
              <w:t>AZ Business Magazine,</w:t>
            </w:r>
            <w:r w:rsidRPr="009467F1">
              <w:rPr>
                <w:rFonts w:ascii="Century Gothic Light" w:hAnsi="Century Gothic Light" w:cs="Century Gothic Light"/>
                <w:color w:val="09223F"/>
                <w:sz w:val="22"/>
                <w:szCs w:val="22"/>
              </w:rPr>
              <w:t xml:space="preserve"> 2018</w:t>
            </w:r>
          </w:p>
          <w:p w:rsidRPr="009467F1" w:rsidR="009467F1" w:rsidP="009467F1" w:rsidRDefault="009467F1" w14:paraId="1129F6CC"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i/>
                <w:iCs/>
                <w:color w:val="09223F"/>
                <w:sz w:val="22"/>
                <w:szCs w:val="22"/>
              </w:rPr>
              <w:t>Benchmark Litigation,</w:t>
            </w:r>
            <w:r w:rsidRPr="009467F1">
              <w:rPr>
                <w:rFonts w:ascii="Century Gothic Light" w:hAnsi="Century Gothic Light" w:cs="Century Gothic Light"/>
                <w:color w:val="09223F"/>
                <w:sz w:val="22"/>
                <w:szCs w:val="22"/>
              </w:rPr>
              <w:t xml:space="preserve"> 40 &amp; Under Hot List, 2018</w:t>
            </w:r>
          </w:p>
          <w:p w:rsidRPr="009467F1" w:rsidR="009467F1" w:rsidP="009467F1" w:rsidRDefault="009467F1" w14:paraId="11ED9E58" w14:textId="747C436B">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i/>
                <w:iCs/>
                <w:color w:val="09223F"/>
                <w:sz w:val="22"/>
                <w:szCs w:val="22"/>
              </w:rPr>
              <w:t>Southwest Rising Stars</w:t>
            </w:r>
            <w:r w:rsidRPr="009467F1">
              <w:rPr>
                <w:rFonts w:ascii="Century Gothic Light" w:hAnsi="Century Gothic Light" w:cs="Century Gothic Light"/>
                <w:color w:val="09223F"/>
                <w:sz w:val="22"/>
                <w:szCs w:val="22"/>
                <w:vertAlign w:val="superscript"/>
              </w:rPr>
              <w:t>®</w:t>
            </w:r>
            <w:r w:rsidRPr="009467F1">
              <w:rPr>
                <w:rFonts w:ascii="Century Gothic Light" w:hAnsi="Century Gothic Light" w:cs="Century Gothic Light"/>
                <w:i/>
                <w:iCs/>
                <w:color w:val="09223F"/>
                <w:sz w:val="22"/>
                <w:szCs w:val="22"/>
              </w:rPr>
              <w:t>,</w:t>
            </w:r>
            <w:r w:rsidRPr="009467F1">
              <w:rPr>
                <w:rFonts w:ascii="Century Gothic Light" w:hAnsi="Century Gothic Light" w:cs="Century Gothic Light"/>
                <w:color w:val="09223F"/>
                <w:sz w:val="22"/>
                <w:szCs w:val="22"/>
              </w:rPr>
              <w:t xml:space="preserve"> Employment Litigation: Defense, 2012; Employment and Labor, 2013-2018</w:t>
            </w:r>
          </w:p>
          <w:p w:rsidRPr="009467F1" w:rsidR="009467F1" w:rsidP="009467F1" w:rsidRDefault="009467F1" w14:paraId="63E04C37"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i/>
                <w:iCs/>
                <w:color w:val="09223F"/>
                <w:sz w:val="22"/>
                <w:szCs w:val="22"/>
              </w:rPr>
              <w:t>Benchmark Litigation,</w:t>
            </w:r>
            <w:r w:rsidRPr="009467F1">
              <w:rPr>
                <w:rFonts w:ascii="Century Gothic Light" w:hAnsi="Century Gothic Light" w:cs="Century Gothic Light"/>
                <w:color w:val="09223F"/>
                <w:sz w:val="22"/>
                <w:szCs w:val="22"/>
              </w:rPr>
              <w:t xml:space="preserve"> Top Litigator Under 40, Future Star, 2017-2018</w:t>
            </w:r>
          </w:p>
          <w:p w:rsidRPr="00324613" w:rsidR="00706534" w:rsidP="009467F1" w:rsidRDefault="009467F1" w14:paraId="2ED04D11" w14:textId="2ED8C74D">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color w:val="09223F"/>
                <w:sz w:val="22"/>
                <w:szCs w:val="22"/>
              </w:rPr>
              <w:t>AV</w:t>
            </w:r>
            <w:r w:rsidRPr="009467F1">
              <w:rPr>
                <w:rFonts w:ascii="Century Gothic Light" w:hAnsi="Century Gothic Light" w:cs="Century Gothic Light"/>
                <w:color w:val="09223F"/>
                <w:sz w:val="22"/>
                <w:szCs w:val="22"/>
                <w:vertAlign w:val="superscript"/>
              </w:rPr>
              <w:t>®</w:t>
            </w:r>
            <w:r w:rsidRPr="009467F1">
              <w:rPr>
                <w:rFonts w:ascii="Century Gothic Light" w:hAnsi="Century Gothic Light" w:cs="Century Gothic Light"/>
                <w:color w:val="09223F"/>
                <w:sz w:val="22"/>
                <w:szCs w:val="22"/>
              </w:rPr>
              <w:t xml:space="preserve"> Preeminent™ Peer Review Rated (the highest rating available), by Martindale-Hubbell</w:t>
            </w:r>
          </w:p>
        </w:tc>
      </w:tr>
      <w:tr w:rsidR="00706534" w:rsidTr="6A459C4A" w14:paraId="7B22D97F" w14:textId="77777777">
        <w:trPr>
          <w:trHeight w:val="288"/>
        </w:trPr>
        <w:tc>
          <w:tcPr>
            <w:tcW w:w="10299" w:type="dxa"/>
            <w:tcMar/>
          </w:tcPr>
          <w:p w:rsidRPr="008F5DD7" w:rsidR="00706534" w:rsidP="00996259" w:rsidRDefault="00706534" w14:paraId="4191381F" w14:textId="77777777">
            <w:pPr>
              <w:pStyle w:val="BasicParagraph"/>
              <w:rPr>
                <w:rFonts w:ascii="Century Gothic Light" w:hAnsi="Century Gothic Light" w:cs="Century Gothic Light"/>
                <w:caps/>
                <w:color w:val="F5821F"/>
                <w:szCs w:val="28"/>
              </w:rPr>
            </w:pPr>
          </w:p>
        </w:tc>
      </w:tr>
      <w:tr w:rsidR="00706534" w:rsidTr="6A459C4A" w14:paraId="5747845D" w14:textId="77777777">
        <w:trPr>
          <w:trHeight w:val="288"/>
        </w:trPr>
        <w:tc>
          <w:tcPr>
            <w:tcW w:w="10299" w:type="dxa"/>
            <w:tcMar/>
          </w:tcPr>
          <w:p w:rsidRPr="00996259" w:rsidR="00706534" w:rsidP="00706534" w:rsidRDefault="00706534" w14:paraId="50047D85" w14:textId="270A2DC0">
            <w:pPr>
              <w:pStyle w:val="BasicParagraph"/>
              <w:rPr>
                <w:rFonts w:ascii="Century Gothic Light" w:hAnsi="Century Gothic Light" w:cs="Century Gothic Light"/>
                <w:caps/>
                <w:color w:val="F5821F"/>
                <w:sz w:val="28"/>
                <w:szCs w:val="32"/>
              </w:rPr>
            </w:pPr>
            <w:r w:rsidRPr="559A0C35" w:rsidR="559A0C35">
              <w:rPr>
                <w:rFonts w:ascii="Century Gothic Light" w:hAnsi="Century Gothic Light" w:cs="Century Gothic Light"/>
                <w:caps w:val="1"/>
                <w:color w:val="F5821F"/>
                <w:sz w:val="28"/>
                <w:szCs w:val="28"/>
              </w:rPr>
              <w:t>articles and presentations</w:t>
            </w:r>
          </w:p>
          <w:p w:rsidR="559A0C35" w:rsidP="6A459C4A" w:rsidRDefault="559A0C35" w14:paraId="4550C6AF" w14:textId="1214DE7A">
            <w:pPr>
              <w:pStyle w:val="BasicParagraph"/>
              <w:numPr>
                <w:ilvl w:val="0"/>
                <w:numId w:val="1"/>
              </w:numPr>
              <w:spacing w:line="240" w:lineRule="auto"/>
              <w:rPr>
                <w:rFonts w:ascii="Century Gothic Light" w:hAnsi="Century Gothic Light" w:eastAsia="Century Gothic Light" w:cs="Century Gothic Light"/>
                <w:color w:val="0C2340" w:themeColor="accent4" w:themeTint="FF" w:themeShade="FF"/>
                <w:sz w:val="22"/>
                <w:szCs w:val="22"/>
              </w:rPr>
            </w:pPr>
            <w:r w:rsidRPr="6A459C4A" w:rsidR="6A459C4A">
              <w:rPr>
                <w:rFonts w:ascii="Century Gothic Light" w:hAnsi="Century Gothic Light" w:cs="Century Gothic Light"/>
                <w:color w:val="09223F"/>
                <w:sz w:val="22"/>
                <w:szCs w:val="22"/>
              </w:rPr>
              <w:t xml:space="preserve">Co-Author, "Experts: Is it OK to pay your employees in Bitcoin?" Daily Independent, June </w:t>
            </w:r>
            <w:r w:rsidRPr="6A459C4A" w:rsidR="6A459C4A">
              <w:rPr>
                <w:rFonts w:ascii="Century Gothic Light" w:hAnsi="Century Gothic Light" w:eastAsia="Century Gothic Light" w:cs="Century Gothic Light"/>
                <w:color w:val="0C2340" w:themeColor="accent4" w:themeTint="FF" w:themeShade="FF"/>
                <w:sz w:val="22"/>
                <w:szCs w:val="22"/>
              </w:rPr>
              <w:t>2, 2022</w:t>
            </w:r>
          </w:p>
          <w:p w:rsidR="6A459C4A" w:rsidP="6A459C4A" w:rsidRDefault="6A459C4A" w14:paraId="0BCE0A88" w14:textId="09B3A594">
            <w:pPr>
              <w:pStyle w:val="BasicParagraph"/>
              <w:numPr>
                <w:ilvl w:val="0"/>
                <w:numId w:val="1"/>
              </w:numPr>
              <w:spacing w:line="240" w:lineRule="auto"/>
              <w:rPr>
                <w:rFonts w:ascii="Century Gothic Light" w:hAnsi="Century Gothic Light" w:eastAsia="Century Gothic Light" w:cs="Century Gothic Light"/>
                <w:color w:val="0C2340" w:themeColor="accent4" w:themeTint="FF" w:themeShade="FF"/>
                <w:sz w:val="22"/>
                <w:szCs w:val="22"/>
              </w:rPr>
            </w:pPr>
            <w:r w:rsidRPr="6A459C4A" w:rsidR="6A459C4A">
              <w:rPr>
                <w:rFonts w:ascii="Century Gothic Light" w:hAnsi="Century Gothic Light" w:eastAsia="Century Gothic Light" w:cs="Century Gothic Light"/>
                <w:color w:val="0C2340" w:themeColor="accent4" w:themeTint="FF" w:themeShade="FF"/>
                <w:sz w:val="24"/>
                <w:szCs w:val="24"/>
              </w:rPr>
              <w:t>Co-Author, " Is it OK to pay employees in Bitcoin?" AZ Big Media, May 26, 2022</w:t>
            </w:r>
          </w:p>
          <w:p w:rsidR="6A459C4A" w:rsidP="6A459C4A" w:rsidRDefault="6A459C4A" w14:paraId="7EB51F7F" w14:textId="6C477256">
            <w:pPr>
              <w:pStyle w:val="ListParagraph"/>
              <w:numPr>
                <w:ilvl w:val="0"/>
                <w:numId w:val="1"/>
              </w:numPr>
              <w:rPr>
                <w:rFonts w:ascii="Century Gothic Light" w:hAnsi="Century Gothic Light" w:eastAsia="Century Gothic Light" w:cs="Century Gothic Light"/>
                <w:color w:val="0C2340" w:themeColor="accent4" w:themeTint="FF" w:themeShade="FF"/>
                <w:sz w:val="22"/>
                <w:szCs w:val="22"/>
              </w:rPr>
            </w:pPr>
            <w:r w:rsidRPr="6A459C4A" w:rsidR="6A459C4A">
              <w:rPr>
                <w:rFonts w:ascii="Century Gothic Light" w:hAnsi="Century Gothic Light" w:eastAsia="Century Gothic Light" w:cs="Century Gothic Light"/>
                <w:color w:val="0C2340" w:themeColor="accent4" w:themeTint="FF" w:themeShade="FF"/>
              </w:rPr>
              <w:t>Co-Author, "Is it time to start paying your employees in cryptocurrency?" Phoenix Business Journal, May 24, 2022</w:t>
            </w:r>
          </w:p>
          <w:p w:rsidR="00EC219B" w:rsidP="00EC219B" w:rsidRDefault="00EC219B" w14:paraId="13689D9D" w14:textId="6925E5A3">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Quoted, "</w:t>
            </w:r>
            <w:r>
              <w:rPr>
                <w:rFonts w:ascii="Century Gothic Light" w:hAnsi="Century Gothic Light" w:cs="Century Gothic Light"/>
                <w:color w:val="09223F"/>
                <w:sz w:val="22"/>
                <w:szCs w:val="22"/>
              </w:rPr>
              <w:t>COVID-19 Vaccine Mandate,” Fox10</w:t>
            </w:r>
            <w:r w:rsidRPr="009F6657">
              <w:rPr>
                <w:rFonts w:ascii="Century Gothic Light" w:hAnsi="Century Gothic Light" w:cs="Century Gothic Light"/>
                <w:color w:val="09223F"/>
                <w:sz w:val="22"/>
                <w:szCs w:val="22"/>
              </w:rPr>
              <w:t xml:space="preserve">, </w:t>
            </w:r>
            <w:r>
              <w:rPr>
                <w:rFonts w:ascii="Century Gothic Light" w:hAnsi="Century Gothic Light" w:cs="Century Gothic Light"/>
                <w:color w:val="09223F"/>
                <w:sz w:val="22"/>
                <w:szCs w:val="22"/>
              </w:rPr>
              <w:t>November 9, 2021</w:t>
            </w:r>
          </w:p>
          <w:p w:rsidR="00EC219B" w:rsidP="003D043A" w:rsidRDefault="00EC219B" w14:paraId="447F4526"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C219B">
              <w:rPr>
                <w:rFonts w:ascii="Century Gothic Light" w:hAnsi="Century Gothic Light" w:cs="Century Gothic Light"/>
                <w:color w:val="09223F"/>
                <w:sz w:val="22"/>
                <w:szCs w:val="22"/>
              </w:rPr>
              <w:t>Quoted, "Fact Finders: How do new OSHA COVID vaccine rules affect state workers?</w:t>
            </w:r>
            <w:r w:rsidRPr="00EC219B">
              <w:rPr>
                <w:rFonts w:ascii="Century Gothic Light" w:hAnsi="Century Gothic Light" w:cs="Century Gothic Light"/>
                <w:color w:val="09223F"/>
                <w:sz w:val="22"/>
                <w:szCs w:val="22"/>
              </w:rPr>
              <w:t xml:space="preserve">” </w:t>
            </w:r>
            <w:proofErr w:type="spellStart"/>
            <w:r w:rsidRPr="00EC219B">
              <w:rPr>
                <w:rFonts w:ascii="Century Gothic Light" w:hAnsi="Century Gothic Light" w:cs="Century Gothic Light"/>
                <w:color w:val="09223F"/>
                <w:sz w:val="22"/>
                <w:szCs w:val="22"/>
              </w:rPr>
              <w:t>KOLD</w:t>
            </w:r>
            <w:proofErr w:type="spellEnd"/>
            <w:r w:rsidRPr="00EC219B">
              <w:rPr>
                <w:rFonts w:ascii="Century Gothic Light" w:hAnsi="Century Gothic Light" w:cs="Century Gothic Light"/>
                <w:color w:val="09223F"/>
                <w:sz w:val="22"/>
                <w:szCs w:val="22"/>
              </w:rPr>
              <w:t xml:space="preserve">, </w:t>
            </w:r>
            <w:r w:rsidRPr="00EC219B">
              <w:rPr>
                <w:rFonts w:ascii="Century Gothic Light" w:hAnsi="Century Gothic Light" w:cs="Century Gothic Light"/>
                <w:color w:val="09223F"/>
                <w:sz w:val="22"/>
                <w:szCs w:val="22"/>
              </w:rPr>
              <w:t>November 4, 2021</w:t>
            </w:r>
          </w:p>
          <w:p w:rsidR="00EC219B" w:rsidP="003D043A" w:rsidRDefault="005C20BA" w14:paraId="6BDAC6AB" w14:textId="328E66DB">
            <w:pPr>
              <w:pStyle w:val="BasicParagraph"/>
              <w:numPr>
                <w:ilvl w:val="0"/>
                <w:numId w:val="1"/>
              </w:numPr>
              <w:suppressAutoHyphens/>
              <w:spacing w:line="240" w:lineRule="auto"/>
              <w:rPr>
                <w:rFonts w:ascii="Century Gothic Light" w:hAnsi="Century Gothic Light" w:cs="Century Gothic Light"/>
                <w:color w:val="09223F"/>
                <w:sz w:val="22"/>
                <w:szCs w:val="22"/>
              </w:rPr>
            </w:pPr>
            <w:r>
              <w:rPr>
                <w:rFonts w:ascii="Century Gothic Light" w:hAnsi="Century Gothic Light" w:cs="Century Gothic Light"/>
                <w:color w:val="09223F"/>
                <w:sz w:val="22"/>
                <w:szCs w:val="22"/>
              </w:rPr>
              <w:t>Co-Author, “</w:t>
            </w:r>
            <w:r w:rsidRPr="005C20BA">
              <w:rPr>
                <w:rFonts w:ascii="Century Gothic Light" w:hAnsi="Century Gothic Light" w:cs="Century Gothic Light"/>
                <w:color w:val="09223F"/>
                <w:sz w:val="22"/>
                <w:szCs w:val="22"/>
              </w:rPr>
              <w:t>Practical considerations for private employers considering COVID-19 vaccine mandates</w:t>
            </w:r>
            <w:r>
              <w:rPr>
                <w:rFonts w:ascii="Century Gothic Light" w:hAnsi="Century Gothic Light" w:cs="Century Gothic Light"/>
                <w:color w:val="09223F"/>
                <w:sz w:val="22"/>
                <w:szCs w:val="22"/>
              </w:rPr>
              <w:t xml:space="preserve">,” </w:t>
            </w:r>
            <w:r>
              <w:rPr>
                <w:rFonts w:ascii="Century Gothic Light" w:hAnsi="Century Gothic Light" w:cs="Century Gothic Light"/>
                <w:i/>
                <w:iCs/>
                <w:color w:val="09223F"/>
                <w:sz w:val="22"/>
                <w:szCs w:val="22"/>
              </w:rPr>
              <w:t xml:space="preserve">Inside Tucson Business, </w:t>
            </w:r>
            <w:r>
              <w:rPr>
                <w:rFonts w:ascii="Century Gothic Light" w:hAnsi="Century Gothic Light" w:cs="Century Gothic Light"/>
                <w:color w:val="09223F"/>
                <w:sz w:val="22"/>
                <w:szCs w:val="22"/>
              </w:rPr>
              <w:t>August 27, 2021</w:t>
            </w:r>
          </w:p>
          <w:p w:rsidRPr="005C20BA" w:rsidR="005C20BA" w:rsidP="005C20BA" w:rsidRDefault="005C20BA" w14:paraId="35CABBEF" w14:textId="0BA9B6DB">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 xml:space="preserve">Quoted, "Fact Finders: </w:t>
            </w:r>
            <w:r w:rsidRPr="005C20BA">
              <w:rPr>
                <w:rFonts w:ascii="Century Gothic Light" w:hAnsi="Century Gothic Light" w:cs="Century Gothic Light"/>
                <w:color w:val="09223F"/>
                <w:sz w:val="22"/>
                <w:szCs w:val="22"/>
              </w:rPr>
              <w:t>Is proof necessary for a vaccine exemption?</w:t>
            </w:r>
            <w:r w:rsidRPr="009F6657">
              <w:rPr>
                <w:rFonts w:ascii="Century Gothic Light" w:hAnsi="Century Gothic Light" w:cs="Century Gothic Light"/>
                <w:color w:val="09223F"/>
                <w:sz w:val="22"/>
                <w:szCs w:val="22"/>
              </w:rPr>
              <w:t xml:space="preserve">" </w:t>
            </w:r>
            <w:proofErr w:type="spellStart"/>
            <w:r w:rsidRPr="009F6657">
              <w:rPr>
                <w:rFonts w:ascii="Century Gothic Light" w:hAnsi="Century Gothic Light" w:cs="Century Gothic Light"/>
                <w:color w:val="09223F"/>
                <w:sz w:val="22"/>
                <w:szCs w:val="22"/>
              </w:rPr>
              <w:t>KOLD</w:t>
            </w:r>
            <w:proofErr w:type="spellEnd"/>
            <w:r w:rsidRPr="009F6657">
              <w:rPr>
                <w:rFonts w:ascii="Century Gothic Light" w:hAnsi="Century Gothic Light" w:cs="Century Gothic Light"/>
                <w:color w:val="09223F"/>
                <w:sz w:val="22"/>
                <w:szCs w:val="22"/>
              </w:rPr>
              <w:t xml:space="preserve">, </w:t>
            </w:r>
            <w:r>
              <w:rPr>
                <w:rFonts w:ascii="Century Gothic Light" w:hAnsi="Century Gothic Light" w:cs="Century Gothic Light"/>
                <w:color w:val="09223F"/>
                <w:sz w:val="22"/>
                <w:szCs w:val="22"/>
              </w:rPr>
              <w:t xml:space="preserve">August </w:t>
            </w:r>
            <w:r>
              <w:rPr>
                <w:rFonts w:ascii="Century Gothic Light" w:hAnsi="Century Gothic Light" w:cs="Century Gothic Light"/>
                <w:color w:val="09223F"/>
                <w:sz w:val="22"/>
                <w:szCs w:val="22"/>
              </w:rPr>
              <w:t>31</w:t>
            </w:r>
            <w:r>
              <w:rPr>
                <w:rFonts w:ascii="Century Gothic Light" w:hAnsi="Century Gothic Light" w:cs="Century Gothic Light"/>
                <w:color w:val="09223F"/>
                <w:sz w:val="22"/>
                <w:szCs w:val="22"/>
              </w:rPr>
              <w:t>, 2021</w:t>
            </w:r>
          </w:p>
          <w:p w:rsidR="005C20BA" w:rsidP="005C20BA" w:rsidRDefault="005C20BA" w14:paraId="4B700F03" w14:textId="08D8A62F">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 xml:space="preserve">Quoted, "Fact Finders: </w:t>
            </w:r>
            <w:r w:rsidRPr="005C20BA">
              <w:rPr>
                <w:rFonts w:ascii="Century Gothic Light" w:hAnsi="Century Gothic Light" w:cs="Century Gothic Light"/>
                <w:color w:val="09223F"/>
                <w:sz w:val="22"/>
                <w:szCs w:val="22"/>
              </w:rPr>
              <w:t>Legal rights for workers who don’t want the vaccine</w:t>
            </w:r>
            <w:r w:rsidRPr="005C20BA">
              <w:rPr>
                <w:rFonts w:ascii="Century Gothic Light" w:hAnsi="Century Gothic Light" w:cs="Century Gothic Light"/>
                <w:color w:val="09223F"/>
                <w:sz w:val="22"/>
                <w:szCs w:val="22"/>
              </w:rPr>
              <w:t>,</w:t>
            </w:r>
            <w:r w:rsidRPr="009F6657">
              <w:rPr>
                <w:rFonts w:ascii="Century Gothic Light" w:hAnsi="Century Gothic Light" w:cs="Century Gothic Light"/>
                <w:color w:val="09223F"/>
                <w:sz w:val="22"/>
                <w:szCs w:val="22"/>
              </w:rPr>
              <w:t xml:space="preserve">" </w:t>
            </w:r>
            <w:proofErr w:type="spellStart"/>
            <w:r w:rsidRPr="009F6657">
              <w:rPr>
                <w:rFonts w:ascii="Century Gothic Light" w:hAnsi="Century Gothic Light" w:cs="Century Gothic Light"/>
                <w:color w:val="09223F"/>
                <w:sz w:val="22"/>
                <w:szCs w:val="22"/>
              </w:rPr>
              <w:t>KOLD</w:t>
            </w:r>
            <w:proofErr w:type="spellEnd"/>
            <w:r w:rsidRPr="009F6657">
              <w:rPr>
                <w:rFonts w:ascii="Century Gothic Light" w:hAnsi="Century Gothic Light" w:cs="Century Gothic Light"/>
                <w:color w:val="09223F"/>
                <w:sz w:val="22"/>
                <w:szCs w:val="22"/>
              </w:rPr>
              <w:t xml:space="preserve">, </w:t>
            </w:r>
            <w:r>
              <w:rPr>
                <w:rFonts w:ascii="Century Gothic Light" w:hAnsi="Century Gothic Light" w:cs="Century Gothic Light"/>
                <w:color w:val="09223F"/>
                <w:sz w:val="22"/>
                <w:szCs w:val="22"/>
              </w:rPr>
              <w:t>August 26, 2021</w:t>
            </w:r>
          </w:p>
          <w:p w:rsidR="005C20BA" w:rsidP="005C20BA" w:rsidRDefault="005C20BA" w14:paraId="7A6C1C82" w14:textId="3CB74CB0">
            <w:pPr>
              <w:pStyle w:val="BasicParagraph"/>
              <w:numPr>
                <w:ilvl w:val="0"/>
                <w:numId w:val="1"/>
              </w:numPr>
              <w:suppressAutoHyphens/>
              <w:spacing w:line="240" w:lineRule="auto"/>
              <w:rPr>
                <w:rFonts w:ascii="Century Gothic Light" w:hAnsi="Century Gothic Light" w:cs="Century Gothic Light"/>
                <w:color w:val="09223F"/>
                <w:sz w:val="22"/>
                <w:szCs w:val="22"/>
              </w:rPr>
            </w:pPr>
            <w:r>
              <w:rPr>
                <w:rFonts w:ascii="Century Gothic Light" w:hAnsi="Century Gothic Light" w:cs="Century Gothic Light"/>
                <w:color w:val="09223F"/>
                <w:sz w:val="22"/>
                <w:szCs w:val="22"/>
              </w:rPr>
              <w:t>Quoted, “</w:t>
            </w:r>
            <w:r w:rsidRPr="005C20BA">
              <w:rPr>
                <w:rFonts w:ascii="Century Gothic Light" w:hAnsi="Century Gothic Light" w:cs="Century Gothic Light"/>
                <w:color w:val="09223F"/>
                <w:sz w:val="22"/>
                <w:szCs w:val="22"/>
              </w:rPr>
              <w:t>Private companies within Arizona can legally mandate the COVID vaccine among their employees</w:t>
            </w:r>
            <w:r>
              <w:rPr>
                <w:rFonts w:ascii="Century Gothic Light" w:hAnsi="Century Gothic Light" w:cs="Century Gothic Light"/>
                <w:color w:val="09223F"/>
                <w:sz w:val="22"/>
                <w:szCs w:val="22"/>
              </w:rPr>
              <w:t>,” Arizona PBS, August 23, 2021</w:t>
            </w:r>
          </w:p>
          <w:p w:rsidRPr="009F6657" w:rsidR="005C20BA" w:rsidP="005C20BA" w:rsidRDefault="005C20BA" w14:paraId="5F05BE19" w14:textId="3DA0F94B">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5C20BA">
              <w:rPr>
                <w:rFonts w:ascii="Century Gothic Light" w:hAnsi="Century Gothic Light" w:cs="Century Gothic Light"/>
                <w:color w:val="09223F"/>
                <w:sz w:val="22"/>
                <w:szCs w:val="22"/>
              </w:rPr>
              <w:t>Quoted, "</w:t>
            </w:r>
            <w:r w:rsidR="0001091C">
              <w:t xml:space="preserve"> </w:t>
            </w:r>
            <w:r w:rsidRPr="0001091C" w:rsidR="0001091C">
              <w:rPr>
                <w:rFonts w:ascii="Century Gothic Light" w:hAnsi="Century Gothic Light" w:cs="Century Gothic Light"/>
                <w:color w:val="09223F"/>
                <w:sz w:val="22"/>
                <w:szCs w:val="22"/>
              </w:rPr>
              <w:t>What rights do workers have as more companies require COVID-19 vaccination for employment?</w:t>
            </w:r>
            <w:r w:rsidRPr="005C20BA">
              <w:rPr>
                <w:rFonts w:ascii="Century Gothic Light" w:hAnsi="Century Gothic Light" w:cs="Century Gothic Light"/>
                <w:color w:val="09223F"/>
                <w:sz w:val="22"/>
                <w:szCs w:val="22"/>
              </w:rPr>
              <w:t xml:space="preserve">” Fox10, </w:t>
            </w:r>
            <w:r w:rsidR="0001091C">
              <w:rPr>
                <w:rFonts w:ascii="Century Gothic Light" w:hAnsi="Century Gothic Light" w:cs="Century Gothic Light"/>
                <w:color w:val="09223F"/>
                <w:sz w:val="22"/>
                <w:szCs w:val="22"/>
              </w:rPr>
              <w:t>July 26</w:t>
            </w:r>
            <w:r w:rsidRPr="005C20BA">
              <w:rPr>
                <w:rFonts w:ascii="Century Gothic Light" w:hAnsi="Century Gothic Light" w:cs="Century Gothic Light"/>
                <w:color w:val="09223F"/>
                <w:sz w:val="22"/>
                <w:szCs w:val="22"/>
              </w:rPr>
              <w:t>, 2021</w:t>
            </w:r>
          </w:p>
          <w:p w:rsidRPr="00EC219B" w:rsidR="009F6657" w:rsidP="003D043A" w:rsidRDefault="009F6657" w14:paraId="305EB0EB" w14:textId="618CA675">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EC219B">
              <w:rPr>
                <w:rFonts w:ascii="Century Gothic Light" w:hAnsi="Century Gothic Light" w:cs="Century Gothic Light"/>
                <w:color w:val="09223F"/>
                <w:sz w:val="22"/>
                <w:szCs w:val="22"/>
              </w:rPr>
              <w:t xml:space="preserve">Quoted, "Jessica Post: Solutions Under Pressure," </w:t>
            </w:r>
            <w:r w:rsidRPr="00EC219B">
              <w:rPr>
                <w:rFonts w:ascii="Century Gothic Light" w:hAnsi="Century Gothic Light" w:cs="Century Gothic Light"/>
                <w:i/>
                <w:iCs/>
                <w:color w:val="09223F"/>
                <w:sz w:val="22"/>
                <w:szCs w:val="22"/>
              </w:rPr>
              <w:t>Attorney at Law Magazine,</w:t>
            </w:r>
            <w:r w:rsidRPr="00EC219B">
              <w:rPr>
                <w:rFonts w:ascii="Century Gothic Light" w:hAnsi="Century Gothic Light" w:cs="Century Gothic Light"/>
                <w:color w:val="09223F"/>
                <w:sz w:val="22"/>
                <w:szCs w:val="22"/>
              </w:rPr>
              <w:t xml:space="preserve"> June 26, 2020</w:t>
            </w:r>
          </w:p>
          <w:p w:rsidRPr="009F6657" w:rsidR="009F6657" w:rsidP="009F6657" w:rsidRDefault="009F6657" w14:paraId="3BB5F97E"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Quoted, "Fact Finders: Do businesses, restaurants have to share COVID-19 cases with you?" KOLD, June 22, 2020</w:t>
            </w:r>
          </w:p>
          <w:p w:rsidRPr="009F6657" w:rsidR="009F6657" w:rsidP="009F6657" w:rsidRDefault="009F6657" w14:paraId="4F31339C"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Speaker, "Steps to Take When Employees Contract COVID-19," Chandler Chamber, June 25, 2020</w:t>
            </w:r>
          </w:p>
          <w:p w:rsidRPr="009F6657" w:rsidR="009F6657" w:rsidP="009F6657" w:rsidRDefault="009F6657" w14:paraId="2D95C389"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 xml:space="preserve">Quoted, "Hiring, Firing and Cancel Culture," </w:t>
            </w:r>
            <w:r w:rsidRPr="009F6657">
              <w:rPr>
                <w:rFonts w:ascii="Century Gothic Light" w:hAnsi="Century Gothic Light" w:cs="Century Gothic Light"/>
                <w:i/>
                <w:iCs/>
                <w:color w:val="09223F"/>
                <w:sz w:val="22"/>
                <w:szCs w:val="22"/>
              </w:rPr>
              <w:t xml:space="preserve">TechTarget, </w:t>
            </w:r>
            <w:r w:rsidRPr="009F6657">
              <w:rPr>
                <w:rFonts w:ascii="Century Gothic Light" w:hAnsi="Century Gothic Light" w:cs="Century Gothic Light"/>
                <w:color w:val="09223F"/>
                <w:sz w:val="22"/>
                <w:szCs w:val="22"/>
              </w:rPr>
              <w:t>June 8, 2020</w:t>
            </w:r>
          </w:p>
          <w:p w:rsidRPr="009F6657" w:rsidR="009F6657" w:rsidP="009F6657" w:rsidRDefault="009F6657" w14:paraId="657B2CC5"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 xml:space="preserve">Quoted, "The legal state of returning to work during COVID-19," </w:t>
            </w:r>
            <w:r w:rsidRPr="009F6657">
              <w:rPr>
                <w:rFonts w:ascii="Century Gothic Light" w:hAnsi="Century Gothic Light" w:cs="Century Gothic Light"/>
                <w:i/>
                <w:iCs/>
                <w:color w:val="09223F"/>
                <w:sz w:val="22"/>
                <w:szCs w:val="22"/>
              </w:rPr>
              <w:t>Tucson Local Media</w:t>
            </w:r>
            <w:r w:rsidRPr="009F6657">
              <w:rPr>
                <w:rFonts w:ascii="Century Gothic Light" w:hAnsi="Century Gothic Light" w:cs="Century Gothic Light"/>
                <w:color w:val="09223F"/>
                <w:sz w:val="22"/>
                <w:szCs w:val="22"/>
              </w:rPr>
              <w:t>, May 20, 2020</w:t>
            </w:r>
          </w:p>
          <w:p w:rsidRPr="009F6657" w:rsidR="009F6657" w:rsidP="009F6657" w:rsidRDefault="009F6657" w14:paraId="41715EC7"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Quoted, "Fact Finders: Businesses need a plan to reduce the spread of COVID-19," KOLD, May 8, 2002</w:t>
            </w:r>
          </w:p>
          <w:p w:rsidRPr="009F6657" w:rsidR="009F6657" w:rsidP="009F6657" w:rsidRDefault="009F6657" w14:paraId="354DD0A2"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Interview, "Equal Employment Opportunity Commission Issues New Guidelines For Reopening Businesses," KJZZ, May 7, 2020</w:t>
            </w:r>
          </w:p>
          <w:p w:rsidRPr="009F6657" w:rsidR="009F6657" w:rsidP="009F6657" w:rsidRDefault="009F6657" w14:paraId="0549B69D"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Quoted, "Legal issues when heading back to work," Arizona Horizon, May 5, 2020</w:t>
            </w:r>
          </w:p>
          <w:p w:rsidRPr="009F6657" w:rsidR="009F6657" w:rsidP="009F6657" w:rsidRDefault="009F6657" w14:paraId="77EF5DC1"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Quoted, "Employees have options as businesses partially reopen," News 4 Tucson, May 4, 2020</w:t>
            </w:r>
          </w:p>
          <w:p w:rsidRPr="009F6657" w:rsidR="009F6657" w:rsidP="009F6657" w:rsidRDefault="009F6657" w14:paraId="34ECA236"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Quoted, "Fact Finders: Reopening your business? What employers need to know to stay out of legal trouble," KOLD News 13, May 4, 2020</w:t>
            </w:r>
          </w:p>
          <w:p w:rsidRPr="009F6657" w:rsidR="009F6657" w:rsidP="009F6657" w:rsidRDefault="009F6657" w14:paraId="7517B713"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 xml:space="preserve">Author, "Reopening Businesses during the COVID-19 Pandemic," </w:t>
            </w:r>
            <w:proofErr w:type="spellStart"/>
            <w:r w:rsidRPr="009F6657">
              <w:rPr>
                <w:rFonts w:ascii="Century Gothic Light" w:hAnsi="Century Gothic Light" w:cs="Century Gothic Light"/>
                <w:i/>
                <w:iCs/>
                <w:color w:val="09223F"/>
                <w:sz w:val="22"/>
                <w:szCs w:val="22"/>
              </w:rPr>
              <w:t>InBusiness</w:t>
            </w:r>
            <w:proofErr w:type="spellEnd"/>
            <w:r w:rsidRPr="009F6657">
              <w:rPr>
                <w:rFonts w:ascii="Century Gothic Light" w:hAnsi="Century Gothic Light" w:cs="Century Gothic Light"/>
                <w:i/>
                <w:iCs/>
                <w:color w:val="09223F"/>
                <w:sz w:val="22"/>
                <w:szCs w:val="22"/>
              </w:rPr>
              <w:t xml:space="preserve">, </w:t>
            </w:r>
            <w:r w:rsidRPr="009F6657">
              <w:rPr>
                <w:rFonts w:ascii="Century Gothic Light" w:hAnsi="Century Gothic Light" w:cs="Century Gothic Light"/>
                <w:color w:val="09223F"/>
                <w:sz w:val="22"/>
                <w:szCs w:val="22"/>
              </w:rPr>
              <w:t>April 30, 2020</w:t>
            </w:r>
          </w:p>
          <w:p w:rsidRPr="009F6657" w:rsidR="009F6657" w:rsidP="009F6657" w:rsidRDefault="009F6657" w14:paraId="29D73C5B"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lastRenderedPageBreak/>
              <w:t>Co-author, "Frequently Asked Questions About Unemployment and Employee Retention Provisions in The CARES Act," Fennemore Client Alert, April 16, 2020</w:t>
            </w:r>
          </w:p>
          <w:p w:rsidRPr="009F6657" w:rsidR="009F6657" w:rsidP="009F6657" w:rsidRDefault="009F6657" w14:paraId="41332AA0"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Co-author, "COVID-19: Health Plan Coverage For Furloughed Employees," Fennemore Client Alert, March 26, 2020</w:t>
            </w:r>
          </w:p>
          <w:p w:rsidRPr="009F6657" w:rsidR="009F6657" w:rsidP="009F6657" w:rsidRDefault="009F6657" w14:paraId="62F72579"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Co-author, "Understanding the Emergency Family Medical Leave Expansion Act and Emergency Paid Sick Leave in the Families First Coronavirus Response Act," Fennemore Client Alert, March 20, 2020</w:t>
            </w:r>
          </w:p>
          <w:p w:rsidRPr="009F6657" w:rsidR="009F6657" w:rsidP="009F6657" w:rsidRDefault="009F6657" w14:paraId="3E657BA2"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Co-author, "Frequently Asked Questions About the Coronavirus in the Employment Setting," Fennemore Client Alert, March 17, 2020</w:t>
            </w:r>
          </w:p>
          <w:p w:rsidRPr="009F6657" w:rsidR="009F6657" w:rsidP="009F6657" w:rsidRDefault="009F6657" w14:paraId="5644C62C"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 xml:space="preserve">Quoted, "A Legal Primer for Coronavirus in the Workplace," </w:t>
            </w:r>
            <w:r w:rsidRPr="009F6657">
              <w:rPr>
                <w:rFonts w:ascii="Century Gothic Light" w:hAnsi="Century Gothic Light" w:cs="Century Gothic Light"/>
                <w:i/>
                <w:iCs/>
                <w:color w:val="09223F"/>
                <w:sz w:val="22"/>
                <w:szCs w:val="22"/>
              </w:rPr>
              <w:t xml:space="preserve">Chamber Business News, </w:t>
            </w:r>
            <w:r w:rsidRPr="009F6657">
              <w:rPr>
                <w:rFonts w:ascii="Century Gothic Light" w:hAnsi="Century Gothic Light" w:cs="Century Gothic Light"/>
                <w:color w:val="09223F"/>
                <w:sz w:val="22"/>
                <w:szCs w:val="22"/>
              </w:rPr>
              <w:t>March 11, 2020</w:t>
            </w:r>
          </w:p>
          <w:p w:rsidRPr="009F6657" w:rsidR="009F6657" w:rsidP="009F6657" w:rsidRDefault="009F6657" w14:paraId="27737B66" w14:textId="3C41B0AF">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Interview, "Know Your Rights as an Employee and Employer," Arizona Horizon, March 11, 2020</w:t>
            </w:r>
          </w:p>
          <w:p w:rsidRPr="009F6657" w:rsidR="009F6657" w:rsidP="009F6657" w:rsidRDefault="009F6657" w14:paraId="1451C3BC"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Interview, "Workers Have Legal Protections Related to Coronavirus, Phoenix Attorney Says," KTAR News, March 10, 2020</w:t>
            </w:r>
          </w:p>
          <w:p w:rsidRPr="009F6657" w:rsidR="009F6657" w:rsidP="009F6657" w:rsidRDefault="009F6657" w14:paraId="1FCEC84F"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Interview, "Issues Employers Are Facing and Strategies to Deal With the Growing Coronavirus Crisis," AZ Family 3, March 10, 2020</w:t>
            </w:r>
          </w:p>
          <w:p w:rsidRPr="009F6657" w:rsidR="009F6657" w:rsidP="009F6657" w:rsidRDefault="009F6657" w14:paraId="5AE73D57"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 xml:space="preserve">Quoted, "Your Social Media Might Be Why You Didn't Get Hired, Study Says," </w:t>
            </w:r>
            <w:r w:rsidRPr="009F6657">
              <w:rPr>
                <w:rFonts w:ascii="Century Gothic Light" w:hAnsi="Century Gothic Light" w:cs="Century Gothic Light"/>
                <w:i/>
                <w:iCs/>
                <w:color w:val="09223F"/>
                <w:sz w:val="22"/>
                <w:szCs w:val="22"/>
              </w:rPr>
              <w:t>Phoenix Business Journal,</w:t>
            </w:r>
            <w:r w:rsidRPr="009F6657">
              <w:rPr>
                <w:rFonts w:ascii="Century Gothic Light" w:hAnsi="Century Gothic Light" w:cs="Century Gothic Light"/>
                <w:color w:val="09223F"/>
                <w:sz w:val="22"/>
                <w:szCs w:val="22"/>
              </w:rPr>
              <w:t xml:space="preserve"> March 10, 2020</w:t>
            </w:r>
          </w:p>
          <w:p w:rsidRPr="009F6657" w:rsidR="009F6657" w:rsidP="009F6657" w:rsidRDefault="009F6657" w14:paraId="742906BF"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 xml:space="preserve">Quoted, "Social Media Posts Can Deter Potential Employers, Experts Agree," </w:t>
            </w:r>
            <w:r w:rsidRPr="009F6657">
              <w:rPr>
                <w:rFonts w:ascii="Century Gothic Light" w:hAnsi="Century Gothic Light" w:cs="Century Gothic Light"/>
                <w:i/>
                <w:iCs/>
                <w:color w:val="09223F"/>
                <w:sz w:val="22"/>
                <w:szCs w:val="22"/>
              </w:rPr>
              <w:t xml:space="preserve">Inside Tucson Business, </w:t>
            </w:r>
            <w:r w:rsidRPr="009F6657">
              <w:rPr>
                <w:rFonts w:ascii="Century Gothic Light" w:hAnsi="Century Gothic Light" w:cs="Century Gothic Light"/>
                <w:color w:val="09223F"/>
                <w:sz w:val="22"/>
                <w:szCs w:val="22"/>
              </w:rPr>
              <w:t>February 28, 2020</w:t>
            </w:r>
          </w:p>
          <w:p w:rsidRPr="009F6657" w:rsidR="009F6657" w:rsidP="009F6657" w:rsidRDefault="009F6657" w14:paraId="64F4CCEA"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Interview, "Can a Company Choose Not to Hire You Because Of Your Social Media Posts?" KTAR, February 14, 2020</w:t>
            </w:r>
          </w:p>
          <w:p w:rsidRPr="009F6657" w:rsidR="009F6657" w:rsidP="009F6657" w:rsidRDefault="009F6657" w14:paraId="1E660CD8"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Co-author, "Vazquez v. Jan-Pro Franchising International, Inc.," Fennemore Client Alert, May 28, 2019</w:t>
            </w:r>
          </w:p>
          <w:p w:rsidRPr="009F6657" w:rsidR="009F6657" w:rsidP="009F6657" w:rsidRDefault="009F6657" w14:paraId="4C077A28"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Panelist, “Legal Issues to Address and Avoid When Starting and Growing Your Business,” The Emerald, April 3, 2019</w:t>
            </w:r>
          </w:p>
          <w:p w:rsidRPr="009F6657" w:rsidR="009F6657" w:rsidP="009F6657" w:rsidRDefault="009F6657" w14:paraId="55E63981"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Author, "Employee With a Medical Marijuana Card My Bring Discrimination Claim Under the Arizona Medical Marijuana Act," Fennemore Client Alert, February 22, 2019</w:t>
            </w:r>
          </w:p>
          <w:p w:rsidRPr="009F6657" w:rsidR="009F6657" w:rsidP="009F6657" w:rsidRDefault="009F6657" w14:paraId="7C38F60E"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 xml:space="preserve">Co-author, "Fighting Workplace Sexual Harassment: State and Federal Approaches," </w:t>
            </w:r>
            <w:r w:rsidRPr="009F6657">
              <w:rPr>
                <w:rFonts w:ascii="Century Gothic Light" w:hAnsi="Century Gothic Light" w:cs="Century Gothic Light"/>
                <w:i/>
                <w:iCs/>
                <w:color w:val="09223F"/>
                <w:sz w:val="22"/>
                <w:szCs w:val="22"/>
              </w:rPr>
              <w:t>Arizona Attorney,</w:t>
            </w:r>
            <w:r w:rsidRPr="009F6657">
              <w:rPr>
                <w:rFonts w:ascii="Century Gothic Light" w:hAnsi="Century Gothic Light" w:cs="Century Gothic Light"/>
                <w:color w:val="09223F"/>
                <w:sz w:val="22"/>
                <w:szCs w:val="22"/>
              </w:rPr>
              <w:t xml:space="preserve"> September 2018</w:t>
            </w:r>
          </w:p>
          <w:p w:rsidRPr="009F6657" w:rsidR="009F6657" w:rsidP="009F6657" w:rsidRDefault="009F6657" w14:paraId="30448261"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Quoted, "#</w:t>
            </w:r>
            <w:proofErr w:type="spellStart"/>
            <w:r w:rsidRPr="009F6657">
              <w:rPr>
                <w:rFonts w:ascii="Century Gothic Light" w:hAnsi="Century Gothic Light" w:cs="Century Gothic Light"/>
                <w:color w:val="09223F"/>
                <w:sz w:val="22"/>
                <w:szCs w:val="22"/>
              </w:rPr>
              <w:t>RedForEd</w:t>
            </w:r>
            <w:proofErr w:type="spellEnd"/>
            <w:r w:rsidRPr="009F6657">
              <w:rPr>
                <w:rFonts w:ascii="Century Gothic Light" w:hAnsi="Century Gothic Light" w:cs="Century Gothic Light"/>
                <w:color w:val="09223F"/>
                <w:sz w:val="22"/>
                <w:szCs w:val="22"/>
              </w:rPr>
              <w:t xml:space="preserve">: What's About to Happen When Teachers Walk Out," </w:t>
            </w:r>
            <w:r w:rsidRPr="009F6657">
              <w:rPr>
                <w:rFonts w:ascii="Century Gothic Light" w:hAnsi="Century Gothic Light" w:cs="Century Gothic Light"/>
                <w:i/>
                <w:iCs/>
                <w:color w:val="09223F"/>
                <w:sz w:val="22"/>
                <w:szCs w:val="22"/>
              </w:rPr>
              <w:t>Cronkite News,</w:t>
            </w:r>
            <w:r w:rsidRPr="009F6657">
              <w:rPr>
                <w:rFonts w:ascii="Century Gothic Light" w:hAnsi="Century Gothic Light" w:cs="Century Gothic Light"/>
                <w:color w:val="09223F"/>
                <w:sz w:val="22"/>
                <w:szCs w:val="22"/>
              </w:rPr>
              <w:t xml:space="preserve"> April 25, 2018</w:t>
            </w:r>
          </w:p>
          <w:p w:rsidRPr="009F6657" w:rsidR="009F6657" w:rsidP="009F6657" w:rsidRDefault="009F6657" w14:paraId="4F4A907D"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 xml:space="preserve">Co-author, "Sexual Harassment Claims Rising?" </w:t>
            </w:r>
            <w:proofErr w:type="spellStart"/>
            <w:r w:rsidRPr="009F6657">
              <w:rPr>
                <w:rFonts w:ascii="Century Gothic Light" w:hAnsi="Century Gothic Light" w:cs="Century Gothic Light"/>
                <w:i/>
                <w:iCs/>
                <w:color w:val="09223F"/>
                <w:sz w:val="22"/>
                <w:szCs w:val="22"/>
              </w:rPr>
              <w:t>InBusiness</w:t>
            </w:r>
            <w:proofErr w:type="spellEnd"/>
            <w:r w:rsidRPr="009F6657">
              <w:rPr>
                <w:rFonts w:ascii="Century Gothic Light" w:hAnsi="Century Gothic Light" w:cs="Century Gothic Light"/>
                <w:i/>
                <w:iCs/>
                <w:color w:val="09223F"/>
                <w:sz w:val="22"/>
                <w:szCs w:val="22"/>
              </w:rPr>
              <w:t>,</w:t>
            </w:r>
            <w:r w:rsidRPr="009F6657">
              <w:rPr>
                <w:rFonts w:ascii="Century Gothic Light" w:hAnsi="Century Gothic Light" w:cs="Century Gothic Light"/>
                <w:color w:val="09223F"/>
                <w:sz w:val="22"/>
                <w:szCs w:val="22"/>
              </w:rPr>
              <w:t xml:space="preserve"> February 2018</w:t>
            </w:r>
          </w:p>
          <w:p w:rsidRPr="009F6657" w:rsidR="009F6657" w:rsidP="009F6657" w:rsidRDefault="009F6657" w14:paraId="7A95EFA9"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Interview, "Harassment in the Workplace," KSAZ, November 30, 2017</w:t>
            </w:r>
          </w:p>
          <w:p w:rsidRPr="009F6657" w:rsidR="009F6657" w:rsidP="009F6657" w:rsidRDefault="009F6657" w14:paraId="651827F2"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Interview, "Sexual Harassment in the Workplace," KFYI, November 29, 2017</w:t>
            </w:r>
          </w:p>
          <w:p w:rsidRPr="009F6657" w:rsidR="009F6657" w:rsidP="009F6657" w:rsidRDefault="009F6657" w14:paraId="6AC14B00"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 xml:space="preserve">Quoted, "Worried Sick About New Law?" </w:t>
            </w:r>
            <w:r w:rsidRPr="009F6657">
              <w:rPr>
                <w:rFonts w:ascii="Century Gothic Light" w:hAnsi="Century Gothic Light" w:cs="Century Gothic Light"/>
                <w:i/>
                <w:iCs/>
                <w:color w:val="09223F"/>
                <w:sz w:val="22"/>
                <w:szCs w:val="22"/>
              </w:rPr>
              <w:t xml:space="preserve">AZ Business Magazine, </w:t>
            </w:r>
            <w:r w:rsidRPr="009F6657">
              <w:rPr>
                <w:rFonts w:ascii="Century Gothic Light" w:hAnsi="Century Gothic Light" w:cs="Century Gothic Light"/>
                <w:color w:val="09223F"/>
                <w:sz w:val="22"/>
                <w:szCs w:val="22"/>
              </w:rPr>
              <w:t>July-August 2017</w:t>
            </w:r>
          </w:p>
          <w:p w:rsidRPr="009F6657" w:rsidR="009F6657" w:rsidP="009F6657" w:rsidRDefault="009F6657" w14:paraId="146721E9"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Interview, "Pro Tips for Arizona Employers to Provide Paid Sick Leave," Greater Phoenix Chamber, June 26, 2017</w:t>
            </w:r>
          </w:p>
          <w:p w:rsidRPr="009F6657" w:rsidR="009F6657" w:rsidP="009F6657" w:rsidRDefault="009F6657" w14:paraId="538C9221"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Interview, "Prop 206," KTVK, June 18, 2017</w:t>
            </w:r>
          </w:p>
          <w:p w:rsidRPr="009F6657" w:rsidR="009F6657" w:rsidP="009F6657" w:rsidRDefault="009F6657" w14:paraId="52CED574"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Interview, "New Paid Sick Leave Rules Effective This Summer in Arizona," ABC-15 Arizona, June 7, 2017</w:t>
            </w:r>
          </w:p>
          <w:p w:rsidRPr="009F6657" w:rsidR="009F6657" w:rsidP="009F6657" w:rsidRDefault="009F6657" w14:paraId="63DF9855"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 xml:space="preserve">Speaker, "Proposition 206," </w:t>
            </w:r>
            <w:proofErr w:type="spellStart"/>
            <w:r w:rsidRPr="009F6657">
              <w:rPr>
                <w:rFonts w:ascii="Century Gothic Light" w:hAnsi="Century Gothic Light" w:cs="Century Gothic Light"/>
                <w:color w:val="09223F"/>
                <w:sz w:val="22"/>
                <w:szCs w:val="22"/>
              </w:rPr>
              <w:t>Lovitt</w:t>
            </w:r>
            <w:proofErr w:type="spellEnd"/>
            <w:r w:rsidRPr="009F6657">
              <w:rPr>
                <w:rFonts w:ascii="Century Gothic Light" w:hAnsi="Century Gothic Light" w:cs="Century Gothic Light"/>
                <w:color w:val="09223F"/>
                <w:sz w:val="22"/>
                <w:szCs w:val="22"/>
              </w:rPr>
              <w:t xml:space="preserve"> &amp; </w:t>
            </w:r>
            <w:proofErr w:type="spellStart"/>
            <w:r w:rsidRPr="009F6657">
              <w:rPr>
                <w:rFonts w:ascii="Century Gothic Light" w:hAnsi="Century Gothic Light" w:cs="Century Gothic Light"/>
                <w:color w:val="09223F"/>
                <w:sz w:val="22"/>
                <w:szCs w:val="22"/>
              </w:rPr>
              <w:t>Touche</w:t>
            </w:r>
            <w:proofErr w:type="spellEnd"/>
            <w:r w:rsidRPr="009F6657">
              <w:rPr>
                <w:rFonts w:ascii="Century Gothic Light" w:hAnsi="Century Gothic Light" w:cs="Century Gothic Light"/>
                <w:color w:val="09223F"/>
                <w:sz w:val="22"/>
                <w:szCs w:val="22"/>
              </w:rPr>
              <w:t>, June 6, 2017</w:t>
            </w:r>
          </w:p>
          <w:p w:rsidRPr="009F6657" w:rsidR="009F6657" w:rsidP="009F6657" w:rsidRDefault="009F6657" w14:paraId="13E3E2E0"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Interview, "New Mandatory Paid Sick Leave," KTAR, June 2, 2017</w:t>
            </w:r>
          </w:p>
          <w:p w:rsidRPr="009F6657" w:rsidR="009F6657" w:rsidP="009F6657" w:rsidRDefault="009F6657" w14:paraId="288377BB"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lastRenderedPageBreak/>
              <w:t xml:space="preserve">Author, "Employer Alert: Paid Sick Leave Required," </w:t>
            </w:r>
            <w:proofErr w:type="spellStart"/>
            <w:r w:rsidRPr="009F6657">
              <w:rPr>
                <w:rFonts w:ascii="Century Gothic Light" w:hAnsi="Century Gothic Light" w:cs="Century Gothic Light"/>
                <w:i/>
                <w:iCs/>
                <w:color w:val="09223F"/>
                <w:sz w:val="22"/>
                <w:szCs w:val="22"/>
              </w:rPr>
              <w:t>InBusiness</w:t>
            </w:r>
            <w:proofErr w:type="spellEnd"/>
            <w:r w:rsidRPr="009F6657">
              <w:rPr>
                <w:rFonts w:ascii="Century Gothic Light" w:hAnsi="Century Gothic Light" w:cs="Century Gothic Light"/>
                <w:i/>
                <w:iCs/>
                <w:color w:val="09223F"/>
                <w:sz w:val="22"/>
                <w:szCs w:val="22"/>
              </w:rPr>
              <w:t>,</w:t>
            </w:r>
            <w:r w:rsidRPr="009F6657">
              <w:rPr>
                <w:rFonts w:ascii="Century Gothic Light" w:hAnsi="Century Gothic Light" w:cs="Century Gothic Light"/>
                <w:color w:val="09223F"/>
                <w:sz w:val="22"/>
                <w:szCs w:val="22"/>
              </w:rPr>
              <w:t xml:space="preserve"> June 2017</w:t>
            </w:r>
          </w:p>
          <w:p w:rsidRPr="009F6657" w:rsidR="009F6657" w:rsidP="009F6657" w:rsidRDefault="009F6657" w14:paraId="5694F7EE"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Speaker, "Proposition 206," Fennemore Webinar, May 24, 2017</w:t>
            </w:r>
          </w:p>
          <w:p w:rsidRPr="009F6657" w:rsidR="009F6657" w:rsidP="009F6657" w:rsidRDefault="009F6657" w14:paraId="2BF84BBD"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Speaker, "Independent Contractor or Employee? Lessons Learned from the Uber Litigation," Fennemore Labor and Employment Seminar, May 4, 2017</w:t>
            </w:r>
          </w:p>
          <w:p w:rsidRPr="009F6657" w:rsidR="009F6657" w:rsidP="009F6657" w:rsidRDefault="009F6657" w14:paraId="6F7E692D"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Speaker, "Gig Workers: New Rules for HR, Employment, and Antitrust," State Bar of Arizona, Labor and Employment Law and Antitrust Section, April 24, 2017</w:t>
            </w:r>
          </w:p>
          <w:p w:rsidRPr="009467F1" w:rsidR="00706534" w:rsidP="009F6657" w:rsidRDefault="009F6657" w14:paraId="4AAC83C2" w14:textId="5F95C32E">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F6657">
              <w:rPr>
                <w:rFonts w:ascii="Century Gothic Light" w:hAnsi="Century Gothic Light" w:cs="Century Gothic Light"/>
                <w:color w:val="09223F"/>
                <w:sz w:val="22"/>
                <w:szCs w:val="22"/>
              </w:rPr>
              <w:t>Author, "Complying With Proposition 207: Fair Wages and Healthy Families Act," Fennemore Client Alert, February 6, 2017</w:t>
            </w:r>
          </w:p>
        </w:tc>
      </w:tr>
      <w:tr w:rsidR="00706534" w:rsidTr="6A459C4A" w14:paraId="1F197719" w14:textId="77777777">
        <w:trPr>
          <w:trHeight w:val="288"/>
        </w:trPr>
        <w:tc>
          <w:tcPr>
            <w:tcW w:w="10299" w:type="dxa"/>
            <w:tcMar/>
          </w:tcPr>
          <w:p w:rsidRPr="008F5DD7" w:rsidR="00706534" w:rsidP="00996259" w:rsidRDefault="00706534" w14:paraId="3F363EF1" w14:textId="77777777">
            <w:pPr>
              <w:pStyle w:val="BasicParagraph"/>
              <w:rPr>
                <w:rFonts w:ascii="Century Gothic Light" w:hAnsi="Century Gothic Light" w:cs="Century Gothic Light"/>
                <w:caps/>
                <w:color w:val="F5821F"/>
                <w:szCs w:val="28"/>
              </w:rPr>
            </w:pPr>
          </w:p>
        </w:tc>
      </w:tr>
      <w:tr w:rsidR="00706534" w:rsidTr="6A459C4A" w14:paraId="05B11199" w14:textId="77777777">
        <w:trPr>
          <w:trHeight w:val="288"/>
        </w:trPr>
        <w:tc>
          <w:tcPr>
            <w:tcW w:w="10299" w:type="dxa"/>
            <w:tcMar/>
          </w:tcPr>
          <w:p w:rsidRPr="00996259" w:rsidR="00706534" w:rsidP="00706534" w:rsidRDefault="00706534" w14:paraId="06C289E6" w14:textId="70534FF0">
            <w:pPr>
              <w:pStyle w:val="BasicParagraph"/>
              <w:rPr>
                <w:rFonts w:ascii="Century Gothic Light" w:hAnsi="Century Gothic Light" w:cs="Century Gothic Light"/>
                <w:caps/>
                <w:color w:val="F5821F"/>
                <w:sz w:val="28"/>
                <w:szCs w:val="32"/>
              </w:rPr>
            </w:pPr>
            <w:r>
              <w:rPr>
                <w:rFonts w:ascii="Century Gothic Light" w:hAnsi="Century Gothic Light" w:cs="Century Gothic Light"/>
                <w:caps/>
                <w:color w:val="F5821F"/>
                <w:sz w:val="28"/>
                <w:szCs w:val="32"/>
              </w:rPr>
              <w:t>professional and community activities</w:t>
            </w:r>
          </w:p>
          <w:p w:rsidRPr="009467F1" w:rsidR="009467F1" w:rsidP="009467F1" w:rsidRDefault="009467F1" w14:paraId="0317A868"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color w:val="09223F"/>
                <w:sz w:val="22"/>
                <w:szCs w:val="22"/>
              </w:rPr>
              <w:t>Member, Board of Directors, Law College Association for the University of Arizona, James E. Rogers College of Law</w:t>
            </w:r>
          </w:p>
          <w:p w:rsidRPr="009467F1" w:rsidR="009467F1" w:rsidP="009467F1" w:rsidRDefault="009467F1" w14:paraId="3DA43F20"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color w:val="09223F"/>
                <w:sz w:val="22"/>
                <w:szCs w:val="22"/>
              </w:rPr>
              <w:t>Member, State Bar of Arizona</w:t>
            </w:r>
          </w:p>
          <w:p w:rsidRPr="009467F1" w:rsidR="009467F1" w:rsidP="009467F1" w:rsidRDefault="009467F1" w14:paraId="611681F2"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color w:val="09223F"/>
                <w:sz w:val="22"/>
                <w:szCs w:val="22"/>
              </w:rPr>
              <w:t>Member, State Bar of California</w:t>
            </w:r>
          </w:p>
          <w:p w:rsidRPr="009467F1" w:rsidR="009467F1" w:rsidP="009467F1" w:rsidRDefault="009467F1" w14:paraId="37841128"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color w:val="09223F"/>
                <w:sz w:val="22"/>
                <w:szCs w:val="22"/>
              </w:rPr>
              <w:t>Board Member, Arizona Law Review Alumni Association, 2014</w:t>
            </w:r>
          </w:p>
          <w:p w:rsidRPr="009467F1" w:rsidR="009467F1" w:rsidP="009467F1" w:rsidRDefault="009467F1" w14:paraId="6093091D"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color w:val="09223F"/>
                <w:sz w:val="22"/>
                <w:szCs w:val="22"/>
              </w:rPr>
              <w:t>President, Phoenix Women's Sports Association, 2014</w:t>
            </w:r>
          </w:p>
          <w:p w:rsidRPr="00706534" w:rsidR="00706534" w:rsidP="009467F1" w:rsidRDefault="009467F1" w14:paraId="58A32436" w14:textId="03D198B9">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color w:val="09223F"/>
                <w:sz w:val="22"/>
                <w:szCs w:val="22"/>
              </w:rPr>
              <w:t>Member, Board of Directors, Phoenix Women's Sports Association, 2009-2012</w:t>
            </w:r>
          </w:p>
        </w:tc>
      </w:tr>
      <w:tr w:rsidR="00706534" w:rsidTr="6A459C4A" w14:paraId="509F7FCF" w14:textId="77777777">
        <w:trPr>
          <w:trHeight w:val="288"/>
        </w:trPr>
        <w:tc>
          <w:tcPr>
            <w:tcW w:w="10299" w:type="dxa"/>
            <w:tcMar/>
          </w:tcPr>
          <w:p w:rsidRPr="008F5DD7" w:rsidR="00706534" w:rsidP="00996259" w:rsidRDefault="00706534" w14:paraId="22B33907" w14:textId="77777777">
            <w:pPr>
              <w:pStyle w:val="BasicParagraph"/>
              <w:rPr>
                <w:rFonts w:ascii="Century Gothic Light" w:hAnsi="Century Gothic Light" w:cs="Century Gothic Light"/>
                <w:caps/>
                <w:color w:val="F5821F"/>
                <w:szCs w:val="28"/>
              </w:rPr>
            </w:pPr>
          </w:p>
        </w:tc>
      </w:tr>
      <w:tr w:rsidR="00996259" w:rsidTr="6A459C4A" w14:paraId="37A27DBA" w14:textId="77777777">
        <w:trPr>
          <w:trHeight w:val="195"/>
        </w:trPr>
        <w:tc>
          <w:tcPr>
            <w:tcW w:w="10299" w:type="dxa"/>
            <w:tcMar/>
          </w:tcPr>
          <w:p w:rsidRPr="00996259" w:rsidR="00996259" w:rsidP="00996259" w:rsidRDefault="00996259" w14:paraId="0239EEB1" w14:textId="77777777">
            <w:pPr>
              <w:pStyle w:val="BasicParagraph"/>
              <w:rPr>
                <w:rFonts w:ascii="Century Gothic Light" w:hAnsi="Century Gothic Light" w:cs="Century Gothic Light"/>
                <w:caps/>
                <w:color w:val="F5821F"/>
                <w:sz w:val="28"/>
                <w:szCs w:val="32"/>
              </w:rPr>
            </w:pPr>
            <w:r w:rsidRPr="00996259">
              <w:rPr>
                <w:rFonts w:ascii="Century Gothic Light" w:hAnsi="Century Gothic Light" w:cs="Century Gothic Light"/>
                <w:caps/>
                <w:color w:val="F5821F"/>
                <w:sz w:val="28"/>
                <w:szCs w:val="32"/>
              </w:rPr>
              <w:t>admissions</w:t>
            </w:r>
          </w:p>
          <w:p w:rsidRPr="009467F1" w:rsidR="009467F1" w:rsidP="009467F1" w:rsidRDefault="009467F1" w14:paraId="49C25520"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color w:val="09223F"/>
                <w:sz w:val="22"/>
                <w:szCs w:val="22"/>
              </w:rPr>
              <w:t>Arizona</w:t>
            </w:r>
          </w:p>
          <w:p w:rsidRPr="009467F1" w:rsidR="009467F1" w:rsidP="009467F1" w:rsidRDefault="009467F1" w14:paraId="3F487C80"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color w:val="09223F"/>
                <w:sz w:val="22"/>
                <w:szCs w:val="22"/>
              </w:rPr>
              <w:t>California</w:t>
            </w:r>
          </w:p>
          <w:p w:rsidRPr="009467F1" w:rsidR="009467F1" w:rsidP="009467F1" w:rsidRDefault="009467F1" w14:paraId="5ADD061A"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color w:val="09223F"/>
                <w:sz w:val="22"/>
                <w:szCs w:val="22"/>
              </w:rPr>
              <w:t>U.S. District Court, District of Arizona</w:t>
            </w:r>
          </w:p>
          <w:p w:rsidRPr="009467F1" w:rsidR="009467F1" w:rsidP="009467F1" w:rsidRDefault="009467F1" w14:paraId="6C3FF7D9" w14:textId="77777777">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color w:val="09223F"/>
                <w:sz w:val="22"/>
                <w:szCs w:val="22"/>
              </w:rPr>
              <w:t>U.S. District Court, Central District of California</w:t>
            </w:r>
          </w:p>
          <w:p w:rsidRPr="004409F8" w:rsidR="00AD3FAF" w:rsidP="009467F1" w:rsidRDefault="009467F1" w14:paraId="044073AE" w14:textId="6D1428F4">
            <w:pPr>
              <w:pStyle w:val="BasicParagraph"/>
              <w:numPr>
                <w:ilvl w:val="0"/>
                <w:numId w:val="1"/>
              </w:numPr>
              <w:suppressAutoHyphens/>
              <w:spacing w:line="240" w:lineRule="auto"/>
              <w:rPr>
                <w:rFonts w:ascii="Century Gothic Light" w:hAnsi="Century Gothic Light" w:cs="Century Gothic Light"/>
                <w:color w:val="09223F"/>
                <w:sz w:val="22"/>
                <w:szCs w:val="22"/>
              </w:rPr>
            </w:pPr>
            <w:r w:rsidRPr="009467F1">
              <w:rPr>
                <w:rFonts w:ascii="Century Gothic Light" w:hAnsi="Century Gothic Light" w:cs="Century Gothic Light"/>
                <w:color w:val="09223F"/>
                <w:sz w:val="22"/>
                <w:szCs w:val="22"/>
              </w:rPr>
              <w:t>U.S. Court of Appeals, Ninth Circuit</w:t>
            </w:r>
          </w:p>
        </w:tc>
      </w:tr>
    </w:tbl>
    <w:p w:rsidR="008700A0" w:rsidP="00124890" w:rsidRDefault="008700A0" w14:paraId="6FBE2627" w14:textId="77777777"/>
    <w:sectPr w:rsidR="008700A0" w:rsidSect="00FB06C0">
      <w:headerReference w:type="default" r:id="rId7"/>
      <w:headerReference w:type="first" r:id="rId8"/>
      <w:pgSz w:w="12240" w:h="15840" w:orient="portrait"/>
      <w:pgMar w:top="720" w:right="720" w:bottom="1008"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01850" w:rsidP="008700A0" w:rsidRDefault="00801850" w14:paraId="38D803CB" w14:textId="77777777">
      <w:pPr>
        <w:spacing w:after="0" w:line="240" w:lineRule="auto"/>
      </w:pPr>
      <w:r>
        <w:separator/>
      </w:r>
    </w:p>
  </w:endnote>
  <w:endnote w:type="continuationSeparator" w:id="0">
    <w:p w:rsidR="00801850" w:rsidP="008700A0" w:rsidRDefault="00801850" w14:paraId="4054E7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Light">
    <w:panose1 w:val="020B0302020202020204"/>
    <w:charset w:val="00"/>
    <w:family w:val="swiss"/>
    <w:notTrueType/>
    <w:pitch w:val="variable"/>
    <w:sig w:usb0="A00002FF" w:usb1="4000205B" w:usb2="00000008"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01850" w:rsidP="008700A0" w:rsidRDefault="00801850" w14:paraId="64E7C569" w14:textId="77777777">
      <w:pPr>
        <w:spacing w:after="0" w:line="240" w:lineRule="auto"/>
      </w:pPr>
      <w:r>
        <w:separator/>
      </w:r>
    </w:p>
  </w:footnote>
  <w:footnote w:type="continuationSeparator" w:id="0">
    <w:p w:rsidR="00801850" w:rsidP="008700A0" w:rsidRDefault="00801850" w14:paraId="04681F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700A0" w:rsidRDefault="008700A0" w14:paraId="66F89623" w14:textId="77777777">
    <w:pPr>
      <w:pStyle w:val="Header"/>
    </w:pPr>
    <w:r>
      <w:rPr>
        <w:noProof/>
      </w:rPr>
      <w:drawing>
        <wp:anchor distT="0" distB="0" distL="114300" distR="114300" simplePos="0" relativeHeight="251659264" behindDoc="1" locked="0" layoutInCell="1" allowOverlap="1" wp14:anchorId="575A1DE1" wp14:editId="52AFF623">
          <wp:simplePos x="0" y="0"/>
          <wp:positionH relativeFrom="margin">
            <wp:posOffset>-457200</wp:posOffset>
          </wp:positionH>
          <wp:positionV relativeFrom="margin">
            <wp:posOffset>-467360</wp:posOffset>
          </wp:positionV>
          <wp:extent cx="7772337" cy="10058319"/>
          <wp:effectExtent l="0" t="0" r="635"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BDO_AMY2.png"/>
                  <pic:cNvPicPr/>
                </pic:nvPicPr>
                <pic:blipFill>
                  <a:blip r:embed="rId1">
                    <a:extLst>
                      <a:ext uri="{28A0092B-C50C-407E-A947-70E740481C1C}">
                        <a14:useLocalDpi xmlns:a14="http://schemas.microsoft.com/office/drawing/2010/main" val="0"/>
                      </a:ext>
                    </a:extLst>
                  </a:blip>
                  <a:stretch>
                    <a:fillRect/>
                  </a:stretch>
                </pic:blipFill>
                <pic:spPr>
                  <a:xfrm>
                    <a:off x="0" y="0"/>
                    <a:ext cx="7772337" cy="1005831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700A0" w:rsidRDefault="008700A0" w14:paraId="6A6734CC" w14:textId="77777777">
    <w:pPr>
      <w:pStyle w:val="Header"/>
    </w:pPr>
    <w:r>
      <w:rPr>
        <w:noProof/>
      </w:rPr>
      <w:drawing>
        <wp:anchor distT="0" distB="0" distL="114300" distR="114300" simplePos="0" relativeHeight="251658240" behindDoc="1" locked="0" layoutInCell="1" allowOverlap="1" wp14:anchorId="26867CE0" wp14:editId="4DB9C79B">
          <wp:simplePos x="0" y="0"/>
          <wp:positionH relativeFrom="margin">
            <wp:posOffset>-457200</wp:posOffset>
          </wp:positionH>
          <wp:positionV relativeFrom="margin">
            <wp:posOffset>-467360</wp:posOffset>
          </wp:positionV>
          <wp:extent cx="7772356" cy="10058343"/>
          <wp:effectExtent l="0" t="0" r="635"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DO_AMY.png"/>
                  <pic:cNvPicPr/>
                </pic:nvPicPr>
                <pic:blipFill>
                  <a:blip r:embed="rId1">
                    <a:extLst>
                      <a:ext uri="{28A0092B-C50C-407E-A947-70E740481C1C}">
                        <a14:useLocalDpi xmlns:a14="http://schemas.microsoft.com/office/drawing/2010/main" val="0"/>
                      </a:ext>
                    </a:extLst>
                  </a:blip>
                  <a:stretch>
                    <a:fillRect/>
                  </a:stretch>
                </pic:blipFill>
                <pic:spPr>
                  <a:xfrm>
                    <a:off x="0" y="0"/>
                    <a:ext cx="7772356" cy="100583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5945"/>
    <w:multiLevelType w:val="multilevel"/>
    <w:tmpl w:val="08F4CF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FFE2A83"/>
    <w:multiLevelType w:val="multilevel"/>
    <w:tmpl w:val="4D4825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4B77F5"/>
    <w:multiLevelType w:val="multilevel"/>
    <w:tmpl w:val="867A5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5BF6BDA"/>
    <w:multiLevelType w:val="multilevel"/>
    <w:tmpl w:val="D62AA6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070967"/>
    <w:multiLevelType w:val="hybridMultilevel"/>
    <w:tmpl w:val="D99CDC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D30ADE"/>
    <w:multiLevelType w:val="multilevel"/>
    <w:tmpl w:val="37BEF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B6F22FA"/>
    <w:multiLevelType w:val="hybridMultilevel"/>
    <w:tmpl w:val="162CDD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E9A3304"/>
    <w:multiLevelType w:val="multilevel"/>
    <w:tmpl w:val="D3F870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4587FDD"/>
    <w:multiLevelType w:val="multilevel"/>
    <w:tmpl w:val="06761F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8D10C05"/>
    <w:multiLevelType w:val="multilevel"/>
    <w:tmpl w:val="94AC0A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96B1AA6"/>
    <w:multiLevelType w:val="multilevel"/>
    <w:tmpl w:val="0D6660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DA1243B"/>
    <w:multiLevelType w:val="multilevel"/>
    <w:tmpl w:val="436CF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EBD33B3"/>
    <w:multiLevelType w:val="multilevel"/>
    <w:tmpl w:val="54F8FD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43C0FEB"/>
    <w:multiLevelType w:val="multilevel"/>
    <w:tmpl w:val="A0EE3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5EF590F"/>
    <w:multiLevelType w:val="multilevel"/>
    <w:tmpl w:val="DA64E9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7185BCE"/>
    <w:multiLevelType w:val="multilevel"/>
    <w:tmpl w:val="6C463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F5C3957"/>
    <w:multiLevelType w:val="multilevel"/>
    <w:tmpl w:val="03E01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30D63C0"/>
    <w:multiLevelType w:val="hybridMultilevel"/>
    <w:tmpl w:val="F15271C0"/>
    <w:lvl w:ilvl="0" w:tplc="04090001">
      <w:start w:val="1"/>
      <w:numFmt w:val="bullet"/>
      <w:lvlText w:val=""/>
      <w:lvlJc w:val="left"/>
      <w:pPr>
        <w:ind w:left="920" w:hanging="360"/>
      </w:pPr>
      <w:rPr>
        <w:rFonts w:hint="default" w:ascii="Symbol" w:hAnsi="Symbol"/>
      </w:rPr>
    </w:lvl>
    <w:lvl w:ilvl="1" w:tplc="04090003" w:tentative="1">
      <w:start w:val="1"/>
      <w:numFmt w:val="bullet"/>
      <w:lvlText w:val="o"/>
      <w:lvlJc w:val="left"/>
      <w:pPr>
        <w:ind w:left="1640" w:hanging="360"/>
      </w:pPr>
      <w:rPr>
        <w:rFonts w:hint="default" w:ascii="Courier New" w:hAnsi="Courier New" w:cs="Courier New"/>
      </w:rPr>
    </w:lvl>
    <w:lvl w:ilvl="2" w:tplc="04090005" w:tentative="1">
      <w:start w:val="1"/>
      <w:numFmt w:val="bullet"/>
      <w:lvlText w:val=""/>
      <w:lvlJc w:val="left"/>
      <w:pPr>
        <w:ind w:left="2360" w:hanging="360"/>
      </w:pPr>
      <w:rPr>
        <w:rFonts w:hint="default" w:ascii="Wingdings" w:hAnsi="Wingdings"/>
      </w:rPr>
    </w:lvl>
    <w:lvl w:ilvl="3" w:tplc="04090001" w:tentative="1">
      <w:start w:val="1"/>
      <w:numFmt w:val="bullet"/>
      <w:lvlText w:val=""/>
      <w:lvlJc w:val="left"/>
      <w:pPr>
        <w:ind w:left="3080" w:hanging="360"/>
      </w:pPr>
      <w:rPr>
        <w:rFonts w:hint="default" w:ascii="Symbol" w:hAnsi="Symbol"/>
      </w:rPr>
    </w:lvl>
    <w:lvl w:ilvl="4" w:tplc="04090003" w:tentative="1">
      <w:start w:val="1"/>
      <w:numFmt w:val="bullet"/>
      <w:lvlText w:val="o"/>
      <w:lvlJc w:val="left"/>
      <w:pPr>
        <w:ind w:left="3800" w:hanging="360"/>
      </w:pPr>
      <w:rPr>
        <w:rFonts w:hint="default" w:ascii="Courier New" w:hAnsi="Courier New" w:cs="Courier New"/>
      </w:rPr>
    </w:lvl>
    <w:lvl w:ilvl="5" w:tplc="04090005" w:tentative="1">
      <w:start w:val="1"/>
      <w:numFmt w:val="bullet"/>
      <w:lvlText w:val=""/>
      <w:lvlJc w:val="left"/>
      <w:pPr>
        <w:ind w:left="4520" w:hanging="360"/>
      </w:pPr>
      <w:rPr>
        <w:rFonts w:hint="default" w:ascii="Wingdings" w:hAnsi="Wingdings"/>
      </w:rPr>
    </w:lvl>
    <w:lvl w:ilvl="6" w:tplc="04090001" w:tentative="1">
      <w:start w:val="1"/>
      <w:numFmt w:val="bullet"/>
      <w:lvlText w:val=""/>
      <w:lvlJc w:val="left"/>
      <w:pPr>
        <w:ind w:left="5240" w:hanging="360"/>
      </w:pPr>
      <w:rPr>
        <w:rFonts w:hint="default" w:ascii="Symbol" w:hAnsi="Symbol"/>
      </w:rPr>
    </w:lvl>
    <w:lvl w:ilvl="7" w:tplc="04090003" w:tentative="1">
      <w:start w:val="1"/>
      <w:numFmt w:val="bullet"/>
      <w:lvlText w:val="o"/>
      <w:lvlJc w:val="left"/>
      <w:pPr>
        <w:ind w:left="5960" w:hanging="360"/>
      </w:pPr>
      <w:rPr>
        <w:rFonts w:hint="default" w:ascii="Courier New" w:hAnsi="Courier New" w:cs="Courier New"/>
      </w:rPr>
    </w:lvl>
    <w:lvl w:ilvl="8" w:tplc="04090005" w:tentative="1">
      <w:start w:val="1"/>
      <w:numFmt w:val="bullet"/>
      <w:lvlText w:val=""/>
      <w:lvlJc w:val="left"/>
      <w:pPr>
        <w:ind w:left="6680" w:hanging="360"/>
      </w:pPr>
      <w:rPr>
        <w:rFonts w:hint="default" w:ascii="Wingdings" w:hAnsi="Wingdings"/>
      </w:rPr>
    </w:lvl>
  </w:abstractNum>
  <w:abstractNum w:abstractNumId="18" w15:restartNumberingAfterBreak="0">
    <w:nsid w:val="539D0598"/>
    <w:multiLevelType w:val="multilevel"/>
    <w:tmpl w:val="B48267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4B900A3"/>
    <w:multiLevelType w:val="multilevel"/>
    <w:tmpl w:val="1E0034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6792F5D"/>
    <w:multiLevelType w:val="multilevel"/>
    <w:tmpl w:val="A4BEAB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7437553"/>
    <w:multiLevelType w:val="multilevel"/>
    <w:tmpl w:val="72209C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8D47CE0"/>
    <w:multiLevelType w:val="multilevel"/>
    <w:tmpl w:val="D7D805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26037DB"/>
    <w:multiLevelType w:val="multilevel"/>
    <w:tmpl w:val="1BB0A6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EAE4FFE"/>
    <w:multiLevelType w:val="hybridMultilevel"/>
    <w:tmpl w:val="2FAA10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55B75DF"/>
    <w:multiLevelType w:val="multilevel"/>
    <w:tmpl w:val="990018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8134E01"/>
    <w:multiLevelType w:val="multilevel"/>
    <w:tmpl w:val="9CCCE9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ADB6F45"/>
    <w:multiLevelType w:val="multilevel"/>
    <w:tmpl w:val="03C604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4"/>
  </w:num>
  <w:num w:numId="2">
    <w:abstractNumId w:val="6"/>
  </w:num>
  <w:num w:numId="3">
    <w:abstractNumId w:val="17"/>
  </w:num>
  <w:num w:numId="4">
    <w:abstractNumId w:val="4"/>
  </w:num>
  <w:num w:numId="5">
    <w:abstractNumId w:val="5"/>
  </w:num>
  <w:num w:numId="6">
    <w:abstractNumId w:val="21"/>
  </w:num>
  <w:num w:numId="7">
    <w:abstractNumId w:val="20"/>
  </w:num>
  <w:num w:numId="8">
    <w:abstractNumId w:val="16"/>
  </w:num>
  <w:num w:numId="9">
    <w:abstractNumId w:val="8"/>
  </w:num>
  <w:num w:numId="10">
    <w:abstractNumId w:val="13"/>
  </w:num>
  <w:num w:numId="11">
    <w:abstractNumId w:val="22"/>
  </w:num>
  <w:num w:numId="12">
    <w:abstractNumId w:val="9"/>
  </w:num>
  <w:num w:numId="13">
    <w:abstractNumId w:val="2"/>
  </w:num>
  <w:num w:numId="14">
    <w:abstractNumId w:val="25"/>
  </w:num>
  <w:num w:numId="15">
    <w:abstractNumId w:val="26"/>
  </w:num>
  <w:num w:numId="16">
    <w:abstractNumId w:val="14"/>
  </w:num>
  <w:num w:numId="17">
    <w:abstractNumId w:val="15"/>
  </w:num>
  <w:num w:numId="18">
    <w:abstractNumId w:val="1"/>
  </w:num>
  <w:num w:numId="19">
    <w:abstractNumId w:val="19"/>
  </w:num>
  <w:num w:numId="20">
    <w:abstractNumId w:val="23"/>
  </w:num>
  <w:num w:numId="21">
    <w:abstractNumId w:val="10"/>
  </w:num>
  <w:num w:numId="22">
    <w:abstractNumId w:val="27"/>
  </w:num>
  <w:num w:numId="23">
    <w:abstractNumId w:val="11"/>
  </w:num>
  <w:num w:numId="24">
    <w:abstractNumId w:val="18"/>
  </w:num>
  <w:num w:numId="25">
    <w:abstractNumId w:val="7"/>
  </w:num>
  <w:num w:numId="26">
    <w:abstractNumId w:val="12"/>
  </w:num>
  <w:num w:numId="27">
    <w:abstractNumId w:val="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A0"/>
    <w:rsid w:val="00000DAC"/>
    <w:rsid w:val="0001091C"/>
    <w:rsid w:val="0002353F"/>
    <w:rsid w:val="00025E40"/>
    <w:rsid w:val="00053A2B"/>
    <w:rsid w:val="0005599F"/>
    <w:rsid w:val="000665FD"/>
    <w:rsid w:val="000B29E6"/>
    <w:rsid w:val="000D2207"/>
    <w:rsid w:val="000E3ECF"/>
    <w:rsid w:val="000F6FAD"/>
    <w:rsid w:val="00100BB9"/>
    <w:rsid w:val="001138EA"/>
    <w:rsid w:val="00124890"/>
    <w:rsid w:val="0013371E"/>
    <w:rsid w:val="0013703F"/>
    <w:rsid w:val="0016204E"/>
    <w:rsid w:val="0019269A"/>
    <w:rsid w:val="001C6685"/>
    <w:rsid w:val="001F1000"/>
    <w:rsid w:val="00206C25"/>
    <w:rsid w:val="00216E51"/>
    <w:rsid w:val="00217188"/>
    <w:rsid w:val="0021738A"/>
    <w:rsid w:val="00237193"/>
    <w:rsid w:val="00253B2D"/>
    <w:rsid w:val="002548B5"/>
    <w:rsid w:val="00266E0F"/>
    <w:rsid w:val="00290ABD"/>
    <w:rsid w:val="00290F41"/>
    <w:rsid w:val="00295769"/>
    <w:rsid w:val="002A2E90"/>
    <w:rsid w:val="002D5A17"/>
    <w:rsid w:val="00312CFC"/>
    <w:rsid w:val="003203C6"/>
    <w:rsid w:val="0032458F"/>
    <w:rsid w:val="00324613"/>
    <w:rsid w:val="00325FC1"/>
    <w:rsid w:val="00332C98"/>
    <w:rsid w:val="00333AD5"/>
    <w:rsid w:val="00340AE6"/>
    <w:rsid w:val="00345563"/>
    <w:rsid w:val="00371E4C"/>
    <w:rsid w:val="003779A7"/>
    <w:rsid w:val="00383C77"/>
    <w:rsid w:val="0039208F"/>
    <w:rsid w:val="003D6259"/>
    <w:rsid w:val="00405313"/>
    <w:rsid w:val="004409F8"/>
    <w:rsid w:val="00442803"/>
    <w:rsid w:val="004533D0"/>
    <w:rsid w:val="004A582F"/>
    <w:rsid w:val="004B0B42"/>
    <w:rsid w:val="004B0FA7"/>
    <w:rsid w:val="00515DE9"/>
    <w:rsid w:val="00517E18"/>
    <w:rsid w:val="005430CB"/>
    <w:rsid w:val="005501CE"/>
    <w:rsid w:val="00551687"/>
    <w:rsid w:val="00566492"/>
    <w:rsid w:val="00587218"/>
    <w:rsid w:val="00590A25"/>
    <w:rsid w:val="005A05EE"/>
    <w:rsid w:val="005A0F4F"/>
    <w:rsid w:val="005B4C1E"/>
    <w:rsid w:val="005C20BA"/>
    <w:rsid w:val="005D3709"/>
    <w:rsid w:val="005F080B"/>
    <w:rsid w:val="00617B93"/>
    <w:rsid w:val="00644C31"/>
    <w:rsid w:val="00655093"/>
    <w:rsid w:val="006B14E5"/>
    <w:rsid w:val="006C3477"/>
    <w:rsid w:val="00706534"/>
    <w:rsid w:val="007160D2"/>
    <w:rsid w:val="007307D7"/>
    <w:rsid w:val="00733A23"/>
    <w:rsid w:val="0076317B"/>
    <w:rsid w:val="00772ABB"/>
    <w:rsid w:val="00772C3A"/>
    <w:rsid w:val="00772D57"/>
    <w:rsid w:val="00795E7E"/>
    <w:rsid w:val="007C384C"/>
    <w:rsid w:val="007D2922"/>
    <w:rsid w:val="007F5739"/>
    <w:rsid w:val="00801850"/>
    <w:rsid w:val="008124A3"/>
    <w:rsid w:val="00841578"/>
    <w:rsid w:val="0086010D"/>
    <w:rsid w:val="00863372"/>
    <w:rsid w:val="008700A0"/>
    <w:rsid w:val="00886858"/>
    <w:rsid w:val="008A29E8"/>
    <w:rsid w:val="008A6430"/>
    <w:rsid w:val="008B0E1C"/>
    <w:rsid w:val="008D168A"/>
    <w:rsid w:val="008D5FA8"/>
    <w:rsid w:val="008D6B2D"/>
    <w:rsid w:val="008E06BB"/>
    <w:rsid w:val="008E6056"/>
    <w:rsid w:val="008F5DD7"/>
    <w:rsid w:val="009067C3"/>
    <w:rsid w:val="00911A93"/>
    <w:rsid w:val="00920E7D"/>
    <w:rsid w:val="009366B8"/>
    <w:rsid w:val="00937844"/>
    <w:rsid w:val="009467F1"/>
    <w:rsid w:val="00950ADB"/>
    <w:rsid w:val="00996259"/>
    <w:rsid w:val="0099759E"/>
    <w:rsid w:val="009A5C44"/>
    <w:rsid w:val="009E44D4"/>
    <w:rsid w:val="009F59F7"/>
    <w:rsid w:val="009F6657"/>
    <w:rsid w:val="009F7119"/>
    <w:rsid w:val="00A01755"/>
    <w:rsid w:val="00A10950"/>
    <w:rsid w:val="00A44AD9"/>
    <w:rsid w:val="00A46A51"/>
    <w:rsid w:val="00A51833"/>
    <w:rsid w:val="00A52F24"/>
    <w:rsid w:val="00A87D32"/>
    <w:rsid w:val="00AA6CBE"/>
    <w:rsid w:val="00AB20C4"/>
    <w:rsid w:val="00AC17A3"/>
    <w:rsid w:val="00AC5754"/>
    <w:rsid w:val="00AD3BB1"/>
    <w:rsid w:val="00AD3FAF"/>
    <w:rsid w:val="00AE1C23"/>
    <w:rsid w:val="00B2311A"/>
    <w:rsid w:val="00B306A1"/>
    <w:rsid w:val="00B4389A"/>
    <w:rsid w:val="00B664FF"/>
    <w:rsid w:val="00B71747"/>
    <w:rsid w:val="00B779C2"/>
    <w:rsid w:val="00B9401F"/>
    <w:rsid w:val="00B95D5D"/>
    <w:rsid w:val="00BA0567"/>
    <w:rsid w:val="00BA0C8B"/>
    <w:rsid w:val="00BA5277"/>
    <w:rsid w:val="00BC1370"/>
    <w:rsid w:val="00BC268B"/>
    <w:rsid w:val="00C15349"/>
    <w:rsid w:val="00C23A89"/>
    <w:rsid w:val="00C251B7"/>
    <w:rsid w:val="00C3111D"/>
    <w:rsid w:val="00C314DA"/>
    <w:rsid w:val="00C56245"/>
    <w:rsid w:val="00C61BBC"/>
    <w:rsid w:val="00C727B6"/>
    <w:rsid w:val="00CA17A1"/>
    <w:rsid w:val="00CA1952"/>
    <w:rsid w:val="00CC750D"/>
    <w:rsid w:val="00CD15B0"/>
    <w:rsid w:val="00CF5C24"/>
    <w:rsid w:val="00D01099"/>
    <w:rsid w:val="00D21AD2"/>
    <w:rsid w:val="00D23AE3"/>
    <w:rsid w:val="00D3611B"/>
    <w:rsid w:val="00D90933"/>
    <w:rsid w:val="00DC046C"/>
    <w:rsid w:val="00DD3DB3"/>
    <w:rsid w:val="00DD7C9B"/>
    <w:rsid w:val="00DE0E91"/>
    <w:rsid w:val="00DE4410"/>
    <w:rsid w:val="00E0643E"/>
    <w:rsid w:val="00E10978"/>
    <w:rsid w:val="00E4405C"/>
    <w:rsid w:val="00E4433C"/>
    <w:rsid w:val="00E51AB5"/>
    <w:rsid w:val="00E86700"/>
    <w:rsid w:val="00E93958"/>
    <w:rsid w:val="00EC219B"/>
    <w:rsid w:val="00ED2D47"/>
    <w:rsid w:val="00EE7F20"/>
    <w:rsid w:val="00F03F17"/>
    <w:rsid w:val="00F20691"/>
    <w:rsid w:val="00F23DC3"/>
    <w:rsid w:val="00F30264"/>
    <w:rsid w:val="00F50B1D"/>
    <w:rsid w:val="00F721AA"/>
    <w:rsid w:val="00F87B62"/>
    <w:rsid w:val="00FB06C0"/>
    <w:rsid w:val="00FC5E49"/>
    <w:rsid w:val="559A0C35"/>
    <w:rsid w:val="6A459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030BA"/>
  <w15:chartTrackingRefBased/>
  <w15:docId w15:val="{C60FBD71-B6ED-45D6-BA7D-7BE4F00E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Light" w:hAnsi="Century Gothic Light" w:eastAsiaTheme="minorHAnsi" w:cstheme="minorBidi"/>
        <w:color w:val="002F6C" w:themeColor="text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67C3"/>
  </w:style>
  <w:style w:type="paragraph" w:styleId="Heading1">
    <w:name w:val="heading 1"/>
    <w:basedOn w:val="Normal"/>
    <w:next w:val="Normal"/>
    <w:link w:val="Heading1Char"/>
    <w:uiPriority w:val="9"/>
    <w:qFormat/>
    <w:rsid w:val="005501CE"/>
    <w:pPr>
      <w:keepNext/>
      <w:keepLines/>
      <w:spacing w:before="240" w:after="0"/>
      <w:outlineLvl w:val="0"/>
    </w:pPr>
    <w:rPr>
      <w:rFonts w:eastAsiaTheme="majorEastAsia" w:cstheme="majorBidi"/>
      <w:color w:val="FF8200" w:themeColor="accent2"/>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700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8700A0"/>
  </w:style>
  <w:style w:type="paragraph" w:styleId="Footer">
    <w:name w:val="footer"/>
    <w:basedOn w:val="Normal"/>
    <w:link w:val="FooterChar"/>
    <w:uiPriority w:val="99"/>
    <w:unhideWhenUsed/>
    <w:rsid w:val="008700A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700A0"/>
  </w:style>
  <w:style w:type="paragraph" w:styleId="BalloonText">
    <w:name w:val="Balloon Text"/>
    <w:basedOn w:val="Normal"/>
    <w:link w:val="BalloonTextChar"/>
    <w:uiPriority w:val="99"/>
    <w:semiHidden/>
    <w:unhideWhenUsed/>
    <w:rsid w:val="008700A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700A0"/>
    <w:rPr>
      <w:rFonts w:ascii="Segoe UI" w:hAnsi="Segoe UI" w:cs="Segoe UI"/>
      <w:sz w:val="18"/>
      <w:szCs w:val="18"/>
    </w:rPr>
  </w:style>
  <w:style w:type="table" w:styleId="TableGrid">
    <w:name w:val="Table Grid"/>
    <w:basedOn w:val="TableNormal"/>
    <w:uiPriority w:val="39"/>
    <w:rsid w:val="008700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 w:customStyle="1">
    <w:name w:val="[Basic Paragraph]"/>
    <w:basedOn w:val="Normal"/>
    <w:uiPriority w:val="99"/>
    <w:rsid w:val="008700A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semiHidden/>
    <w:unhideWhenUsed/>
    <w:rsid w:val="008F5DD7"/>
    <w:rPr>
      <w:color w:val="0000FF"/>
      <w:u w:val="single"/>
    </w:rPr>
  </w:style>
  <w:style w:type="character" w:styleId="Heading1Char" w:customStyle="1">
    <w:name w:val="Heading 1 Char"/>
    <w:basedOn w:val="DefaultParagraphFont"/>
    <w:link w:val="Heading1"/>
    <w:uiPriority w:val="9"/>
    <w:rsid w:val="005501CE"/>
    <w:rPr>
      <w:rFonts w:ascii="Century Gothic Light" w:hAnsi="Century Gothic Light" w:eastAsiaTheme="majorEastAsia" w:cstheme="majorBidi"/>
      <w:color w:val="FF8200" w:themeColor="accent2"/>
      <w:sz w:val="28"/>
      <w:szCs w:val="32"/>
    </w:rPr>
  </w:style>
  <w:style w:type="character" w:styleId="Emphasis">
    <w:name w:val="Emphasis"/>
    <w:basedOn w:val="DefaultParagraphFont"/>
    <w:uiPriority w:val="20"/>
    <w:qFormat/>
    <w:rsid w:val="005501CE"/>
    <w:rPr>
      <w:i/>
      <w:iCs/>
    </w:rPr>
  </w:style>
  <w:style w:type="paragraph" w:styleId="NoSpacing">
    <w:name w:val="No Spacing"/>
    <w:aliases w:val="Bulleted Content"/>
    <w:uiPriority w:val="1"/>
    <w:qFormat/>
    <w:rsid w:val="005501CE"/>
    <w:pPr>
      <w:spacing w:after="0" w:line="240" w:lineRule="auto"/>
    </w:pPr>
  </w:style>
  <w:style w:type="character" w:styleId="Strong">
    <w:name w:val="Strong"/>
    <w:basedOn w:val="DefaultParagraphFont"/>
    <w:uiPriority w:val="22"/>
    <w:qFormat/>
    <w:rsid w:val="005501CE"/>
    <w:rPr>
      <w:b/>
      <w:bCs/>
    </w:rPr>
  </w:style>
  <w:style w:type="paragraph" w:styleId="NormalWeb">
    <w:name w:val="Normal (Web)"/>
    <w:basedOn w:val="Normal"/>
    <w:uiPriority w:val="99"/>
    <w:semiHidden/>
    <w:unhideWhenUsed/>
    <w:rsid w:val="005501CE"/>
    <w:pPr>
      <w:spacing w:before="100" w:beforeAutospacing="1" w:after="100" w:afterAutospacing="1" w:line="240" w:lineRule="auto"/>
    </w:pPr>
    <w:rPr>
      <w:rFonts w:ascii="Times New Roman" w:hAnsi="Times New Roman" w:eastAsia="Times New Roman" w:cs="Times New Roman"/>
      <w:color w:val="auto"/>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48403">
      <w:bodyDiv w:val="1"/>
      <w:marLeft w:val="0"/>
      <w:marRight w:val="0"/>
      <w:marTop w:val="0"/>
      <w:marBottom w:val="0"/>
      <w:divBdr>
        <w:top w:val="none" w:sz="0" w:space="0" w:color="auto"/>
        <w:left w:val="none" w:sz="0" w:space="0" w:color="auto"/>
        <w:bottom w:val="none" w:sz="0" w:space="0" w:color="auto"/>
        <w:right w:val="none" w:sz="0" w:space="0" w:color="auto"/>
      </w:divBdr>
    </w:div>
    <w:div w:id="92828738">
      <w:bodyDiv w:val="1"/>
      <w:marLeft w:val="0"/>
      <w:marRight w:val="0"/>
      <w:marTop w:val="0"/>
      <w:marBottom w:val="0"/>
      <w:divBdr>
        <w:top w:val="none" w:sz="0" w:space="0" w:color="auto"/>
        <w:left w:val="none" w:sz="0" w:space="0" w:color="auto"/>
        <w:bottom w:val="none" w:sz="0" w:space="0" w:color="auto"/>
        <w:right w:val="none" w:sz="0" w:space="0" w:color="auto"/>
      </w:divBdr>
    </w:div>
    <w:div w:id="108011763">
      <w:bodyDiv w:val="1"/>
      <w:marLeft w:val="0"/>
      <w:marRight w:val="0"/>
      <w:marTop w:val="0"/>
      <w:marBottom w:val="0"/>
      <w:divBdr>
        <w:top w:val="none" w:sz="0" w:space="0" w:color="auto"/>
        <w:left w:val="none" w:sz="0" w:space="0" w:color="auto"/>
        <w:bottom w:val="none" w:sz="0" w:space="0" w:color="auto"/>
        <w:right w:val="none" w:sz="0" w:space="0" w:color="auto"/>
      </w:divBdr>
    </w:div>
    <w:div w:id="254048686">
      <w:bodyDiv w:val="1"/>
      <w:marLeft w:val="0"/>
      <w:marRight w:val="0"/>
      <w:marTop w:val="0"/>
      <w:marBottom w:val="0"/>
      <w:divBdr>
        <w:top w:val="none" w:sz="0" w:space="0" w:color="auto"/>
        <w:left w:val="none" w:sz="0" w:space="0" w:color="auto"/>
        <w:bottom w:val="none" w:sz="0" w:space="0" w:color="auto"/>
        <w:right w:val="none" w:sz="0" w:space="0" w:color="auto"/>
      </w:divBdr>
    </w:div>
    <w:div w:id="270094753">
      <w:bodyDiv w:val="1"/>
      <w:marLeft w:val="0"/>
      <w:marRight w:val="0"/>
      <w:marTop w:val="0"/>
      <w:marBottom w:val="0"/>
      <w:divBdr>
        <w:top w:val="none" w:sz="0" w:space="0" w:color="auto"/>
        <w:left w:val="none" w:sz="0" w:space="0" w:color="auto"/>
        <w:bottom w:val="none" w:sz="0" w:space="0" w:color="auto"/>
        <w:right w:val="none" w:sz="0" w:space="0" w:color="auto"/>
      </w:divBdr>
    </w:div>
    <w:div w:id="381058476">
      <w:bodyDiv w:val="1"/>
      <w:marLeft w:val="0"/>
      <w:marRight w:val="0"/>
      <w:marTop w:val="0"/>
      <w:marBottom w:val="0"/>
      <w:divBdr>
        <w:top w:val="none" w:sz="0" w:space="0" w:color="auto"/>
        <w:left w:val="none" w:sz="0" w:space="0" w:color="auto"/>
        <w:bottom w:val="none" w:sz="0" w:space="0" w:color="auto"/>
        <w:right w:val="none" w:sz="0" w:space="0" w:color="auto"/>
      </w:divBdr>
    </w:div>
    <w:div w:id="386683006">
      <w:bodyDiv w:val="1"/>
      <w:marLeft w:val="0"/>
      <w:marRight w:val="0"/>
      <w:marTop w:val="0"/>
      <w:marBottom w:val="0"/>
      <w:divBdr>
        <w:top w:val="none" w:sz="0" w:space="0" w:color="auto"/>
        <w:left w:val="none" w:sz="0" w:space="0" w:color="auto"/>
        <w:bottom w:val="none" w:sz="0" w:space="0" w:color="auto"/>
        <w:right w:val="none" w:sz="0" w:space="0" w:color="auto"/>
      </w:divBdr>
    </w:div>
    <w:div w:id="420108427">
      <w:bodyDiv w:val="1"/>
      <w:marLeft w:val="0"/>
      <w:marRight w:val="0"/>
      <w:marTop w:val="0"/>
      <w:marBottom w:val="0"/>
      <w:divBdr>
        <w:top w:val="none" w:sz="0" w:space="0" w:color="auto"/>
        <w:left w:val="none" w:sz="0" w:space="0" w:color="auto"/>
        <w:bottom w:val="none" w:sz="0" w:space="0" w:color="auto"/>
        <w:right w:val="none" w:sz="0" w:space="0" w:color="auto"/>
      </w:divBdr>
    </w:div>
    <w:div w:id="470708773">
      <w:bodyDiv w:val="1"/>
      <w:marLeft w:val="0"/>
      <w:marRight w:val="0"/>
      <w:marTop w:val="0"/>
      <w:marBottom w:val="0"/>
      <w:divBdr>
        <w:top w:val="none" w:sz="0" w:space="0" w:color="auto"/>
        <w:left w:val="none" w:sz="0" w:space="0" w:color="auto"/>
        <w:bottom w:val="none" w:sz="0" w:space="0" w:color="auto"/>
        <w:right w:val="none" w:sz="0" w:space="0" w:color="auto"/>
      </w:divBdr>
    </w:div>
    <w:div w:id="473379356">
      <w:bodyDiv w:val="1"/>
      <w:marLeft w:val="0"/>
      <w:marRight w:val="0"/>
      <w:marTop w:val="0"/>
      <w:marBottom w:val="0"/>
      <w:divBdr>
        <w:top w:val="none" w:sz="0" w:space="0" w:color="auto"/>
        <w:left w:val="none" w:sz="0" w:space="0" w:color="auto"/>
        <w:bottom w:val="none" w:sz="0" w:space="0" w:color="auto"/>
        <w:right w:val="none" w:sz="0" w:space="0" w:color="auto"/>
      </w:divBdr>
    </w:div>
    <w:div w:id="548614391">
      <w:bodyDiv w:val="1"/>
      <w:marLeft w:val="0"/>
      <w:marRight w:val="0"/>
      <w:marTop w:val="0"/>
      <w:marBottom w:val="0"/>
      <w:divBdr>
        <w:top w:val="none" w:sz="0" w:space="0" w:color="auto"/>
        <w:left w:val="none" w:sz="0" w:space="0" w:color="auto"/>
        <w:bottom w:val="none" w:sz="0" w:space="0" w:color="auto"/>
        <w:right w:val="none" w:sz="0" w:space="0" w:color="auto"/>
      </w:divBdr>
    </w:div>
    <w:div w:id="636304956">
      <w:bodyDiv w:val="1"/>
      <w:marLeft w:val="0"/>
      <w:marRight w:val="0"/>
      <w:marTop w:val="0"/>
      <w:marBottom w:val="0"/>
      <w:divBdr>
        <w:top w:val="none" w:sz="0" w:space="0" w:color="auto"/>
        <w:left w:val="none" w:sz="0" w:space="0" w:color="auto"/>
        <w:bottom w:val="none" w:sz="0" w:space="0" w:color="auto"/>
        <w:right w:val="none" w:sz="0" w:space="0" w:color="auto"/>
      </w:divBdr>
    </w:div>
    <w:div w:id="701633725">
      <w:bodyDiv w:val="1"/>
      <w:marLeft w:val="0"/>
      <w:marRight w:val="0"/>
      <w:marTop w:val="0"/>
      <w:marBottom w:val="0"/>
      <w:divBdr>
        <w:top w:val="none" w:sz="0" w:space="0" w:color="auto"/>
        <w:left w:val="none" w:sz="0" w:space="0" w:color="auto"/>
        <w:bottom w:val="none" w:sz="0" w:space="0" w:color="auto"/>
        <w:right w:val="none" w:sz="0" w:space="0" w:color="auto"/>
      </w:divBdr>
    </w:div>
    <w:div w:id="729114715">
      <w:bodyDiv w:val="1"/>
      <w:marLeft w:val="0"/>
      <w:marRight w:val="0"/>
      <w:marTop w:val="0"/>
      <w:marBottom w:val="0"/>
      <w:divBdr>
        <w:top w:val="none" w:sz="0" w:space="0" w:color="auto"/>
        <w:left w:val="none" w:sz="0" w:space="0" w:color="auto"/>
        <w:bottom w:val="none" w:sz="0" w:space="0" w:color="auto"/>
        <w:right w:val="none" w:sz="0" w:space="0" w:color="auto"/>
      </w:divBdr>
    </w:div>
    <w:div w:id="763454396">
      <w:bodyDiv w:val="1"/>
      <w:marLeft w:val="0"/>
      <w:marRight w:val="0"/>
      <w:marTop w:val="0"/>
      <w:marBottom w:val="0"/>
      <w:divBdr>
        <w:top w:val="none" w:sz="0" w:space="0" w:color="auto"/>
        <w:left w:val="none" w:sz="0" w:space="0" w:color="auto"/>
        <w:bottom w:val="none" w:sz="0" w:space="0" w:color="auto"/>
        <w:right w:val="none" w:sz="0" w:space="0" w:color="auto"/>
      </w:divBdr>
      <w:divsChild>
        <w:div w:id="1288316745">
          <w:marLeft w:val="0"/>
          <w:marRight w:val="0"/>
          <w:marTop w:val="0"/>
          <w:marBottom w:val="0"/>
          <w:divBdr>
            <w:top w:val="none" w:sz="0" w:space="0" w:color="auto"/>
            <w:left w:val="none" w:sz="0" w:space="0" w:color="auto"/>
            <w:bottom w:val="none" w:sz="0" w:space="0" w:color="auto"/>
            <w:right w:val="none" w:sz="0" w:space="0" w:color="auto"/>
          </w:divBdr>
        </w:div>
        <w:div w:id="2031560691">
          <w:marLeft w:val="0"/>
          <w:marRight w:val="0"/>
          <w:marTop w:val="0"/>
          <w:marBottom w:val="0"/>
          <w:divBdr>
            <w:top w:val="none" w:sz="0" w:space="0" w:color="auto"/>
            <w:left w:val="none" w:sz="0" w:space="0" w:color="auto"/>
            <w:bottom w:val="none" w:sz="0" w:space="0" w:color="auto"/>
            <w:right w:val="none" w:sz="0" w:space="0" w:color="auto"/>
          </w:divBdr>
        </w:div>
      </w:divsChild>
    </w:div>
    <w:div w:id="837575991">
      <w:bodyDiv w:val="1"/>
      <w:marLeft w:val="0"/>
      <w:marRight w:val="0"/>
      <w:marTop w:val="0"/>
      <w:marBottom w:val="0"/>
      <w:divBdr>
        <w:top w:val="none" w:sz="0" w:space="0" w:color="auto"/>
        <w:left w:val="none" w:sz="0" w:space="0" w:color="auto"/>
        <w:bottom w:val="none" w:sz="0" w:space="0" w:color="auto"/>
        <w:right w:val="none" w:sz="0" w:space="0" w:color="auto"/>
      </w:divBdr>
    </w:div>
    <w:div w:id="851380712">
      <w:bodyDiv w:val="1"/>
      <w:marLeft w:val="0"/>
      <w:marRight w:val="0"/>
      <w:marTop w:val="0"/>
      <w:marBottom w:val="0"/>
      <w:divBdr>
        <w:top w:val="none" w:sz="0" w:space="0" w:color="auto"/>
        <w:left w:val="none" w:sz="0" w:space="0" w:color="auto"/>
        <w:bottom w:val="none" w:sz="0" w:space="0" w:color="auto"/>
        <w:right w:val="none" w:sz="0" w:space="0" w:color="auto"/>
      </w:divBdr>
    </w:div>
    <w:div w:id="1025138676">
      <w:bodyDiv w:val="1"/>
      <w:marLeft w:val="0"/>
      <w:marRight w:val="0"/>
      <w:marTop w:val="0"/>
      <w:marBottom w:val="0"/>
      <w:divBdr>
        <w:top w:val="none" w:sz="0" w:space="0" w:color="auto"/>
        <w:left w:val="none" w:sz="0" w:space="0" w:color="auto"/>
        <w:bottom w:val="none" w:sz="0" w:space="0" w:color="auto"/>
        <w:right w:val="none" w:sz="0" w:space="0" w:color="auto"/>
      </w:divBdr>
    </w:div>
    <w:div w:id="1040282367">
      <w:bodyDiv w:val="1"/>
      <w:marLeft w:val="0"/>
      <w:marRight w:val="0"/>
      <w:marTop w:val="0"/>
      <w:marBottom w:val="0"/>
      <w:divBdr>
        <w:top w:val="none" w:sz="0" w:space="0" w:color="auto"/>
        <w:left w:val="none" w:sz="0" w:space="0" w:color="auto"/>
        <w:bottom w:val="none" w:sz="0" w:space="0" w:color="auto"/>
        <w:right w:val="none" w:sz="0" w:space="0" w:color="auto"/>
      </w:divBdr>
    </w:div>
    <w:div w:id="1098060512">
      <w:bodyDiv w:val="1"/>
      <w:marLeft w:val="0"/>
      <w:marRight w:val="0"/>
      <w:marTop w:val="0"/>
      <w:marBottom w:val="0"/>
      <w:divBdr>
        <w:top w:val="none" w:sz="0" w:space="0" w:color="auto"/>
        <w:left w:val="none" w:sz="0" w:space="0" w:color="auto"/>
        <w:bottom w:val="none" w:sz="0" w:space="0" w:color="auto"/>
        <w:right w:val="none" w:sz="0" w:space="0" w:color="auto"/>
      </w:divBdr>
    </w:div>
    <w:div w:id="1098407617">
      <w:bodyDiv w:val="1"/>
      <w:marLeft w:val="0"/>
      <w:marRight w:val="0"/>
      <w:marTop w:val="0"/>
      <w:marBottom w:val="0"/>
      <w:divBdr>
        <w:top w:val="none" w:sz="0" w:space="0" w:color="auto"/>
        <w:left w:val="none" w:sz="0" w:space="0" w:color="auto"/>
        <w:bottom w:val="none" w:sz="0" w:space="0" w:color="auto"/>
        <w:right w:val="none" w:sz="0" w:space="0" w:color="auto"/>
      </w:divBdr>
    </w:div>
    <w:div w:id="1142967900">
      <w:bodyDiv w:val="1"/>
      <w:marLeft w:val="0"/>
      <w:marRight w:val="0"/>
      <w:marTop w:val="0"/>
      <w:marBottom w:val="0"/>
      <w:divBdr>
        <w:top w:val="none" w:sz="0" w:space="0" w:color="auto"/>
        <w:left w:val="none" w:sz="0" w:space="0" w:color="auto"/>
        <w:bottom w:val="none" w:sz="0" w:space="0" w:color="auto"/>
        <w:right w:val="none" w:sz="0" w:space="0" w:color="auto"/>
      </w:divBdr>
    </w:div>
    <w:div w:id="1297680625">
      <w:bodyDiv w:val="1"/>
      <w:marLeft w:val="0"/>
      <w:marRight w:val="0"/>
      <w:marTop w:val="0"/>
      <w:marBottom w:val="0"/>
      <w:divBdr>
        <w:top w:val="none" w:sz="0" w:space="0" w:color="auto"/>
        <w:left w:val="none" w:sz="0" w:space="0" w:color="auto"/>
        <w:bottom w:val="none" w:sz="0" w:space="0" w:color="auto"/>
        <w:right w:val="none" w:sz="0" w:space="0" w:color="auto"/>
      </w:divBdr>
    </w:div>
    <w:div w:id="1305162146">
      <w:bodyDiv w:val="1"/>
      <w:marLeft w:val="0"/>
      <w:marRight w:val="0"/>
      <w:marTop w:val="0"/>
      <w:marBottom w:val="0"/>
      <w:divBdr>
        <w:top w:val="none" w:sz="0" w:space="0" w:color="auto"/>
        <w:left w:val="none" w:sz="0" w:space="0" w:color="auto"/>
        <w:bottom w:val="none" w:sz="0" w:space="0" w:color="auto"/>
        <w:right w:val="none" w:sz="0" w:space="0" w:color="auto"/>
      </w:divBdr>
    </w:div>
    <w:div w:id="1350989552">
      <w:bodyDiv w:val="1"/>
      <w:marLeft w:val="0"/>
      <w:marRight w:val="0"/>
      <w:marTop w:val="0"/>
      <w:marBottom w:val="0"/>
      <w:divBdr>
        <w:top w:val="none" w:sz="0" w:space="0" w:color="auto"/>
        <w:left w:val="none" w:sz="0" w:space="0" w:color="auto"/>
        <w:bottom w:val="none" w:sz="0" w:space="0" w:color="auto"/>
        <w:right w:val="none" w:sz="0" w:space="0" w:color="auto"/>
      </w:divBdr>
    </w:div>
    <w:div w:id="1509448020">
      <w:bodyDiv w:val="1"/>
      <w:marLeft w:val="0"/>
      <w:marRight w:val="0"/>
      <w:marTop w:val="0"/>
      <w:marBottom w:val="0"/>
      <w:divBdr>
        <w:top w:val="none" w:sz="0" w:space="0" w:color="auto"/>
        <w:left w:val="none" w:sz="0" w:space="0" w:color="auto"/>
        <w:bottom w:val="none" w:sz="0" w:space="0" w:color="auto"/>
        <w:right w:val="none" w:sz="0" w:space="0" w:color="auto"/>
      </w:divBdr>
    </w:div>
    <w:div w:id="1697776253">
      <w:bodyDiv w:val="1"/>
      <w:marLeft w:val="0"/>
      <w:marRight w:val="0"/>
      <w:marTop w:val="0"/>
      <w:marBottom w:val="0"/>
      <w:divBdr>
        <w:top w:val="none" w:sz="0" w:space="0" w:color="auto"/>
        <w:left w:val="none" w:sz="0" w:space="0" w:color="auto"/>
        <w:bottom w:val="none" w:sz="0" w:space="0" w:color="auto"/>
        <w:right w:val="none" w:sz="0" w:space="0" w:color="auto"/>
      </w:divBdr>
      <w:divsChild>
        <w:div w:id="1255699329">
          <w:marLeft w:val="0"/>
          <w:marRight w:val="0"/>
          <w:marTop w:val="0"/>
          <w:marBottom w:val="0"/>
          <w:divBdr>
            <w:top w:val="none" w:sz="0" w:space="0" w:color="auto"/>
            <w:left w:val="none" w:sz="0" w:space="0" w:color="auto"/>
            <w:bottom w:val="none" w:sz="0" w:space="0" w:color="auto"/>
            <w:right w:val="none" w:sz="0" w:space="0" w:color="auto"/>
          </w:divBdr>
        </w:div>
        <w:div w:id="1191147971">
          <w:marLeft w:val="0"/>
          <w:marRight w:val="0"/>
          <w:marTop w:val="0"/>
          <w:marBottom w:val="0"/>
          <w:divBdr>
            <w:top w:val="none" w:sz="0" w:space="0" w:color="auto"/>
            <w:left w:val="none" w:sz="0" w:space="0" w:color="auto"/>
            <w:bottom w:val="none" w:sz="0" w:space="0" w:color="auto"/>
            <w:right w:val="none" w:sz="0" w:space="0" w:color="auto"/>
          </w:divBdr>
        </w:div>
      </w:divsChild>
    </w:div>
    <w:div w:id="1720980081">
      <w:bodyDiv w:val="1"/>
      <w:marLeft w:val="0"/>
      <w:marRight w:val="0"/>
      <w:marTop w:val="0"/>
      <w:marBottom w:val="0"/>
      <w:divBdr>
        <w:top w:val="none" w:sz="0" w:space="0" w:color="auto"/>
        <w:left w:val="none" w:sz="0" w:space="0" w:color="auto"/>
        <w:bottom w:val="none" w:sz="0" w:space="0" w:color="auto"/>
        <w:right w:val="none" w:sz="0" w:space="0" w:color="auto"/>
      </w:divBdr>
    </w:div>
    <w:div w:id="1837454378">
      <w:bodyDiv w:val="1"/>
      <w:marLeft w:val="0"/>
      <w:marRight w:val="0"/>
      <w:marTop w:val="0"/>
      <w:marBottom w:val="0"/>
      <w:divBdr>
        <w:top w:val="none" w:sz="0" w:space="0" w:color="auto"/>
        <w:left w:val="none" w:sz="0" w:space="0" w:color="auto"/>
        <w:bottom w:val="none" w:sz="0" w:space="0" w:color="auto"/>
        <w:right w:val="none" w:sz="0" w:space="0" w:color="auto"/>
      </w:divBdr>
    </w:div>
    <w:div w:id="2001613789">
      <w:bodyDiv w:val="1"/>
      <w:marLeft w:val="0"/>
      <w:marRight w:val="0"/>
      <w:marTop w:val="0"/>
      <w:marBottom w:val="0"/>
      <w:divBdr>
        <w:top w:val="none" w:sz="0" w:space="0" w:color="auto"/>
        <w:left w:val="none" w:sz="0" w:space="0" w:color="auto"/>
        <w:bottom w:val="none" w:sz="0" w:space="0" w:color="auto"/>
        <w:right w:val="none" w:sz="0" w:space="0" w:color="auto"/>
      </w:divBdr>
    </w:div>
    <w:div w:id="20218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ennemore Craig 2020">
      <a:dk1>
        <a:srgbClr val="6E6259"/>
      </a:dk1>
      <a:lt1>
        <a:sysClr val="window" lastClr="FFFFFF"/>
      </a:lt1>
      <a:dk2>
        <a:srgbClr val="002F6C"/>
      </a:dk2>
      <a:lt2>
        <a:srgbClr val="958A82"/>
      </a:lt2>
      <a:accent1>
        <a:srgbClr val="002F6C"/>
      </a:accent1>
      <a:accent2>
        <a:srgbClr val="FF8200"/>
      </a:accent2>
      <a:accent3>
        <a:srgbClr val="003DA5"/>
      </a:accent3>
      <a:accent4>
        <a:srgbClr val="0C2340"/>
      </a:accent4>
      <a:accent5>
        <a:srgbClr val="D6D1CA"/>
      </a:accent5>
      <a:accent6>
        <a:srgbClr val="6E6259"/>
      </a:accent6>
      <a:hlink>
        <a:srgbClr val="FF8200"/>
      </a:hlink>
      <a:folHlink>
        <a:srgbClr val="003D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JOHNSON, ESME</dc:creator>
  <keywords/>
  <dc:description/>
  <lastModifiedBy>Finessa Bates</lastModifiedBy>
  <revision>9</revision>
  <lastPrinted>2021-01-06T16:29:00.0000000Z</lastPrinted>
  <dcterms:created xsi:type="dcterms:W3CDTF">2020-08-12T21:43:00.0000000Z</dcterms:created>
  <dcterms:modified xsi:type="dcterms:W3CDTF">2022-08-04T22:38:12.8375607Z</dcterms:modified>
</coreProperties>
</file>