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7D951E79" w14:paraId="3E2643B7" w14:textId="77777777">
        <w:trPr>
          <w:trHeight w:val="579"/>
        </w:trPr>
        <w:tc>
          <w:tcPr>
            <w:tcW w:w="10299" w:type="dxa"/>
            <w:tcMar/>
          </w:tcPr>
          <w:p w:rsidRPr="007C3820" w:rsidR="007C3820" w:rsidP="007C3820" w:rsidRDefault="007C3820" w14:paraId="1EA9CD65" w14:textId="77777777">
            <w:pPr>
              <w:rPr>
                <w:rFonts w:cs="Century Gothic Light"/>
                <w:color w:val="09223F"/>
              </w:rPr>
            </w:pPr>
            <w:r w:rsidRPr="007C3820">
              <w:rPr>
                <w:rFonts w:cs="Century Gothic Light"/>
                <w:color w:val="09223F"/>
              </w:rPr>
              <w:t>Dan has practiced regulatory and government relations law for more than thirty years. His clients are in the commercial gaming industry, telecommunication, energy and water utility companies and their customers, and financial services institutions.</w:t>
            </w:r>
          </w:p>
          <w:p w:rsidRPr="007C3820" w:rsidR="007C3820" w:rsidP="007C3820" w:rsidRDefault="007C3820" w14:paraId="73396DF6" w14:textId="77777777">
            <w:pPr>
              <w:rPr>
                <w:rFonts w:cs="Century Gothic Light"/>
                <w:color w:val="09223F"/>
              </w:rPr>
            </w:pPr>
          </w:p>
          <w:p w:rsidRPr="007C3820" w:rsidR="007C3820" w:rsidP="007C3820" w:rsidRDefault="007C3820" w14:paraId="7D3C6123" w14:textId="77777777">
            <w:pPr>
              <w:rPr>
                <w:rFonts w:cs="Century Gothic Light"/>
                <w:color w:val="09223F"/>
              </w:rPr>
            </w:pPr>
            <w:r w:rsidRPr="007C3820">
              <w:rPr>
                <w:rFonts w:cs="Century Gothic Light"/>
                <w:color w:val="09223F"/>
              </w:rPr>
              <w:t>He focuses on helping businesses with transactions, regulatory compliance and in licensing and other proceedings before administrative agencies or other government bodies. Dan also has experience in government procurement disputes, judicial review of government action, and eminent domain cases.</w:t>
            </w:r>
          </w:p>
          <w:p w:rsidRPr="007C3820" w:rsidR="007C3820" w:rsidP="007C3820" w:rsidRDefault="007C3820" w14:paraId="106775C7" w14:textId="77777777">
            <w:pPr>
              <w:rPr>
                <w:rFonts w:cs="Century Gothic Light"/>
                <w:color w:val="09223F"/>
              </w:rPr>
            </w:pPr>
          </w:p>
          <w:p w:rsidRPr="003779A7" w:rsidR="008700A0" w:rsidP="007C3820" w:rsidRDefault="007C3820" w14:paraId="39C10D41" w14:textId="6C1E02B8">
            <w:pPr>
              <w:rPr>
                <w:rFonts w:cs="Century Gothic Light"/>
                <w:color w:val="09223F"/>
              </w:rPr>
            </w:pPr>
            <w:r w:rsidRPr="007C3820">
              <w:rPr>
                <w:rFonts w:cs="Century Gothic Light"/>
                <w:color w:val="09223F"/>
              </w:rPr>
              <w:t>Dan served in the Office of the Attorney General for Nevada as Chief Deputy for the Gaming Division, where he represented the Nevada Gaming Commission and the Nevada State Gaming Board. He was Chief Counsel to the Nevada Department of Transportation. During his tenure as a deputy attorney general, Dan was counsel to the Nevada Commissions on Economic Development, Tourism and Environmental Protection, and the State Departments of Agriculture, Corrections, Minerals and Wildlife.</w:t>
            </w:r>
          </w:p>
        </w:tc>
      </w:tr>
      <w:tr w:rsidR="008700A0" w:rsidTr="7D951E79"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7D951E79"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7C3820" w:rsidR="007C3820" w:rsidP="007C3820" w:rsidRDefault="007C3820" w14:paraId="48844A4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J.D., California Western School of Law</w:t>
            </w:r>
          </w:p>
          <w:p w:rsidRPr="00551687" w:rsidR="00AB20C4" w:rsidP="007C3820" w:rsidRDefault="007C3820" w14:paraId="3BF85D19" w14:textId="162375C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B.A., California State University, Fullerton</w:t>
            </w:r>
          </w:p>
        </w:tc>
      </w:tr>
      <w:tr w:rsidR="00DE4410" w:rsidTr="7D951E79"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7D951E79"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000DAC" w:rsidTr="008129B7" w14:paraId="2FD63DE2" w14:textId="77777777">
              <w:trPr>
                <w:trHeight w:val="195"/>
              </w:trPr>
              <w:tc>
                <w:tcPr>
                  <w:tcW w:w="5036" w:type="dxa"/>
                </w:tcPr>
                <w:p w:rsidR="00377FE6" w:rsidP="00F458C1" w:rsidRDefault="007C3820" w14:paraId="6B6DF8DC"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and Finance</w:t>
                  </w:r>
                </w:p>
                <w:p w:rsidR="007C3820" w:rsidP="00F458C1" w:rsidRDefault="007C3820" w14:paraId="67A318F8"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Gaming and Hospitality</w:t>
                  </w:r>
                </w:p>
                <w:p w:rsidRPr="0013703F" w:rsidR="007C3820" w:rsidP="00F458C1" w:rsidRDefault="007C3820" w14:paraId="6A22E23D" w14:textId="4CC6DAEA">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Government Relations and Regulatory</w:t>
                  </w:r>
                </w:p>
              </w:tc>
              <w:tc>
                <w:tcPr>
                  <w:tcW w:w="5037" w:type="dxa"/>
                </w:tcPr>
                <w:p w:rsidR="00324613" w:rsidP="00F458C1" w:rsidRDefault="007C3820" w14:paraId="0DFCFA68"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Government Procurement</w:t>
                  </w:r>
                </w:p>
                <w:p w:rsidRPr="00442803" w:rsidR="007C3820" w:rsidP="00F458C1" w:rsidRDefault="007C3820" w14:paraId="22A85BCB" w14:textId="33064914">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Natural Resources, Energy and Environmental</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E86700" w:rsidTr="7D951E79" w14:paraId="74B2DD5B" w14:textId="77777777">
        <w:trPr>
          <w:trHeight w:val="288"/>
        </w:trPr>
        <w:tc>
          <w:tcPr>
            <w:tcW w:w="10299" w:type="dxa"/>
            <w:tcMar/>
          </w:tcPr>
          <w:p w:rsidRPr="008F5DD7" w:rsidR="00E86700" w:rsidP="00996259" w:rsidRDefault="00E86700" w14:paraId="3514A962" w14:textId="77777777">
            <w:pPr>
              <w:pStyle w:val="BasicParagraph"/>
              <w:rPr>
                <w:rFonts w:ascii="Century Gothic Light" w:hAnsi="Century Gothic Light" w:cs="Century Gothic Light"/>
                <w:caps/>
                <w:color w:val="F5821F"/>
                <w:szCs w:val="28"/>
              </w:rPr>
            </w:pPr>
          </w:p>
        </w:tc>
      </w:tr>
      <w:tr w:rsidR="007C3820" w:rsidTr="7D951E79" w14:paraId="272B722E" w14:textId="77777777">
        <w:trPr>
          <w:trHeight w:val="288"/>
        </w:trPr>
        <w:tc>
          <w:tcPr>
            <w:tcW w:w="10299" w:type="dxa"/>
            <w:tcMar/>
          </w:tcPr>
          <w:p w:rsidRPr="00996259" w:rsidR="007C3820" w:rsidP="007C3820" w:rsidRDefault="007C3820" w14:paraId="3C843A47" w14:textId="24DF6A9A">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representative cases</w:t>
            </w:r>
          </w:p>
          <w:p w:rsidRPr="007C3820" w:rsidR="007C3820" w:rsidP="007C3820" w:rsidRDefault="007C3820" w14:paraId="0C597FA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Legislative engagement for Association of Gaming Equipment Manufacturers on 2019 passage of Assembly Bill 221 to expand gaming technology sector work force development.</w:t>
            </w:r>
          </w:p>
          <w:p w:rsidRPr="007C3820" w:rsidR="007C3820" w:rsidP="007C3820" w:rsidRDefault="007C3820" w14:paraId="6082BF9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lastRenderedPageBreak/>
              <w:t>Representation in 2019 of Wynn Las Vegas, LLC for Nevada Gaming Commission licensing of Marilyn Spiegel as the President for Las Vegas properties.</w:t>
            </w:r>
          </w:p>
          <w:p w:rsidRPr="007C3820" w:rsidR="007C3820" w:rsidP="007C3820" w:rsidRDefault="007C3820" w14:paraId="3914870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Engagement in 2019 by international payment processor firm in connection with multi-jurisdictional gaming regulatory compliance and licensing for associated equipment technology development for use in the casino point of sale operations.</w:t>
            </w:r>
          </w:p>
          <w:p w:rsidRPr="007C3820" w:rsidR="007C3820" w:rsidP="007C3820" w:rsidRDefault="007C3820" w14:paraId="638C056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Nevada special corporate and gaming counsel to underwriters in the initial public offering by social gaming technology company in 2019.</w:t>
            </w:r>
          </w:p>
          <w:p w:rsidRPr="007C3820" w:rsidR="007C3820" w:rsidP="007C3820" w:rsidRDefault="007C3820" w14:paraId="0DB9458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2018 engagement as counsel for Tronox, LLC in sale of Electrolytic Division to EMD Acquisition LLC.</w:t>
            </w:r>
          </w:p>
          <w:p w:rsidRPr="007C3820" w:rsidR="007C3820" w:rsidP="007C3820" w:rsidRDefault="007C3820" w14:paraId="17ACE32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2018 representation of MHM Solutions, Inc. in successful cancellation of contract award for temporary medical services by Nevada State Purchasing Division based on violation of state procurement laws.</w:t>
            </w:r>
          </w:p>
          <w:p w:rsidRPr="007C3820" w:rsidR="007C3820" w:rsidP="007C3820" w:rsidRDefault="007C3820" w14:paraId="5E91F40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 xml:space="preserve">Nevada special gaming counsel on 2018 working capital loan by international investment bank to holding company of publicly traded multi-jurisdictional gaming resort hotel company. </w:t>
            </w:r>
          </w:p>
          <w:p w:rsidRPr="007C3820" w:rsidR="007C3820" w:rsidP="007C3820" w:rsidRDefault="007C3820" w14:paraId="204A98B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2017 officer and director licensing and public share redemption transaction approval by Nevada Gaming Commission for Tracinda Corporation as controlling shareholder the Estate of Kirk Kirkorian and largest private holder of equity stock in MGM Resorts International.</w:t>
            </w:r>
          </w:p>
          <w:p w:rsidRPr="007C3820" w:rsidR="007C3820" w:rsidP="007C3820" w:rsidRDefault="007C3820" w14:paraId="68D2645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2017 approval for Calpine Energy Solutions, LLC of merger with ECP ControlCo, LLP and related license transfer.</w:t>
            </w:r>
          </w:p>
          <w:p w:rsidRPr="007C3820" w:rsidR="007C3820" w:rsidP="007C3820" w:rsidRDefault="007C3820" w14:paraId="6A60946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Separate engagements during 2017 for a multi-property resort hotel firm,  a gaming technology company, and a skill-based mobile games platform operator on multi-jurisdictional gaming regulatory matters relating to various social gaming and sports wagering platforms.</w:t>
            </w:r>
          </w:p>
          <w:p w:rsidRPr="007C3820" w:rsidR="007C3820" w:rsidP="007C3820" w:rsidRDefault="007C3820" w14:paraId="162B219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2016 preliminary finding of suitability for Station Casino's Project Redfield Reno.</w:t>
            </w:r>
          </w:p>
          <w:p w:rsidRPr="007C3820" w:rsidR="007C3820" w:rsidP="007C3820" w:rsidRDefault="007C3820" w14:paraId="0FB491B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2016 negotiation for City of Boulder City of Post-2017 Hoover Power electric service contract and related agreements with United States Bureau of Reclamation and Western Power Administration.</w:t>
            </w:r>
          </w:p>
          <w:p w:rsidRPr="007C3820" w:rsidR="007C3820" w:rsidP="007C3820" w:rsidRDefault="007C3820" w14:paraId="1D462C7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2015 passage for the Association of Gaming Equipment Manufacturers of Senate Bill 9 and related adoption of Nevada Gaming Commission regulations authorizing development and play in Nevada of electronic skill-based games.</w:t>
            </w:r>
          </w:p>
          <w:p w:rsidRPr="007C3820" w:rsidR="007C3820" w:rsidP="007C3820" w:rsidRDefault="007C3820" w14:paraId="282479B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2014 licensing and approvals for acquisition by Global Cash Access Holdings, Inc. of Multimedia Games Holding Company, Inc.</w:t>
            </w:r>
          </w:p>
          <w:p w:rsidRPr="007C3820" w:rsidR="007C3820" w:rsidP="007C3820" w:rsidRDefault="007C3820" w14:paraId="1A5D587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2013 adoption for International Game Technology and Bally Technologies, Inc. of Nevada Gaming Commission Regulations authorizing multi-state progressive prizes for linked slot machines.</w:t>
            </w:r>
          </w:p>
          <w:p w:rsidRPr="007C3820" w:rsidR="007C3820" w:rsidP="007C3820" w:rsidRDefault="007C3820" w14:paraId="0A16921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2012 and 2011 licensing and approvals for acquisition by private equity consortium of Aliante Casino &amp; Hotel from Stations Casino, LLC.</w:t>
            </w:r>
          </w:p>
          <w:p w:rsidRPr="007C3820" w:rsidR="007C3820" w:rsidP="007C3820" w:rsidRDefault="007C3820" w14:paraId="1EEE2D5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2011 approval of utility environmental protection act permits for Armagosa Valley Solar I, LLC to construct 500 megawatt solar generation plant.</w:t>
            </w:r>
          </w:p>
          <w:p w:rsidRPr="007C3820" w:rsidR="007C3820" w:rsidP="007C3820" w:rsidRDefault="007C3820" w14:paraId="324DCE3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2011 and 2010 approvals for credit facilities and notes offerings by International Game Technology.</w:t>
            </w:r>
          </w:p>
          <w:p w:rsidRPr="007C3820" w:rsidR="007C3820" w:rsidP="007C3820" w:rsidRDefault="007C3820" w14:paraId="6DED515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lastRenderedPageBreak/>
              <w:t>2011 and 2009 legislative engagements for the Association of Gaming Equipment Manufacturers on Assembly Bill 294 and Senate Bill 83 providing for the regulation of gaming device independent contractors.</w:t>
            </w:r>
          </w:p>
          <w:p w:rsidRPr="007C3820" w:rsidR="007C3820" w:rsidP="007C3820" w:rsidRDefault="007C3820" w14:paraId="4455B73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2010 approval of award and contract by Regional Transportation Commission of Washoe County for First Transit.</w:t>
            </w:r>
          </w:p>
          <w:p w:rsidRPr="007C3820" w:rsidR="007C3820" w:rsidP="007C3820" w:rsidRDefault="007C3820" w14:paraId="27629FB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2009 approval of award and contract by Nevada Public Employees Retirement System for Diversified Dental Services, Inc.</w:t>
            </w:r>
          </w:p>
          <w:p w:rsidRPr="007C3820" w:rsidR="007C3820" w:rsidP="007C3820" w:rsidRDefault="007C3820" w14:paraId="0D95BDB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2007, 2003 and 1999 legislative engagements for AT&amp;T, Inc. and SBC Communications, Inc. on Assembly Bill 518, Assembly Bill 526, Senate Bill 400 and Senate Bill 440 adopting the state video services franchise act and proving plan and program for telecommunications market regulatory reform.</w:t>
            </w:r>
          </w:p>
          <w:p w:rsidRPr="007C3820" w:rsidR="007C3820" w:rsidP="007C3820" w:rsidRDefault="007C3820" w14:paraId="449C02F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2007 approvals of merger of First Republic Bank with Merrill Lynch Bank &amp; Trust.</w:t>
            </w:r>
          </w:p>
          <w:p w:rsidRPr="007C3820" w:rsidR="007C3820" w:rsidP="007C3820" w:rsidRDefault="007C3820" w14:paraId="302A0C9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2006 approval of demutualization of Employers’ Insurance Group.</w:t>
            </w:r>
          </w:p>
          <w:p w:rsidRPr="007C3820" w:rsidR="007C3820" w:rsidP="007C3820" w:rsidRDefault="007C3820" w14:paraId="58315D9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i/>
                <w:iCs/>
                <w:color w:val="09223F"/>
                <w:sz w:val="22"/>
                <w:szCs w:val="22"/>
              </w:rPr>
              <w:t>International Game Technology, et al. v. Second Judicial District Court, et al.,</w:t>
            </w:r>
            <w:r w:rsidRPr="007C3820">
              <w:rPr>
                <w:rFonts w:ascii="Century Gothic Light" w:hAnsi="Century Gothic Light" w:cs="Century Gothic Light"/>
                <w:color w:val="09223F"/>
                <w:sz w:val="22"/>
                <w:szCs w:val="22"/>
              </w:rPr>
              <w:t xml:space="preserve"> 122 Nev. 132, 127 P.3d 1088 (2006).</w:t>
            </w:r>
          </w:p>
          <w:p w:rsidRPr="007C3820" w:rsidR="007C3820" w:rsidP="007C3820" w:rsidRDefault="007C3820" w14:paraId="78E10D5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i/>
                <w:iCs/>
                <w:color w:val="09223F"/>
                <w:sz w:val="22"/>
                <w:szCs w:val="22"/>
              </w:rPr>
              <w:t>Attorney General v. NOS Communications,</w:t>
            </w:r>
            <w:r w:rsidRPr="007C3820">
              <w:rPr>
                <w:rFonts w:ascii="Century Gothic Light" w:hAnsi="Century Gothic Light" w:cs="Century Gothic Light"/>
                <w:color w:val="09223F"/>
                <w:sz w:val="22"/>
                <w:szCs w:val="22"/>
              </w:rPr>
              <w:t xml:space="preserve"> 120 Nev. 65, 84 P.3d 1052 (2004).</w:t>
            </w:r>
          </w:p>
          <w:p w:rsidRPr="007C3820" w:rsidR="007C3820" w:rsidP="007C3820" w:rsidRDefault="007C3820" w14:paraId="6CC9195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2003 licenses and approvals for formation of Schwab Bank, N.A.</w:t>
            </w:r>
          </w:p>
          <w:p w:rsidRPr="007C3820" w:rsidR="007C3820" w:rsidP="007C3820" w:rsidRDefault="007C3820" w14:paraId="79DD357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2003 approval for SBC Communications, Inc. to offer long-distance service under Section 271 of the Telecommunications Act.</w:t>
            </w:r>
          </w:p>
          <w:p w:rsidRPr="007C3820" w:rsidR="007C3820" w:rsidP="007C3820" w:rsidRDefault="007C3820" w14:paraId="36598FA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i/>
                <w:iCs/>
                <w:color w:val="09223F"/>
                <w:sz w:val="22"/>
                <w:szCs w:val="22"/>
              </w:rPr>
              <w:t>Sengel v. International Game Technology,</w:t>
            </w:r>
            <w:r w:rsidRPr="007C3820">
              <w:rPr>
                <w:rFonts w:ascii="Century Gothic Light" w:hAnsi="Century Gothic Light" w:cs="Century Gothic Light"/>
                <w:color w:val="09223F"/>
                <w:sz w:val="22"/>
                <w:szCs w:val="22"/>
              </w:rPr>
              <w:t xml:space="preserve"> 116 Nev. 565, 2 P.3d 258 (2000).</w:t>
            </w:r>
          </w:p>
          <w:p w:rsidRPr="007C3820" w:rsidR="007C3820" w:rsidP="007C3820" w:rsidRDefault="007C3820" w14:paraId="24E960D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1999 initial registration and licensing of Sierra Design Group as manufacturer and distributor of gaming equipment.</w:t>
            </w:r>
          </w:p>
          <w:p w:rsidRPr="007C3820" w:rsidR="007C3820" w:rsidP="007C3820" w:rsidRDefault="007C3820" w14:paraId="28343FF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1999 approval for SBC Communications, Inc. to acquire Ameritech Corporation.</w:t>
            </w:r>
          </w:p>
          <w:p w:rsidRPr="007C3820" w:rsidR="007C3820" w:rsidP="007C3820" w:rsidRDefault="007C3820" w14:paraId="7787B5B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1998 and 1997 initial registration and licensing of Starwood Hotels &amp; Resorts Worldwide, Inc. and acquisition of ITT Sheraton Corporation and Caesars World, Inc.</w:t>
            </w:r>
          </w:p>
          <w:p w:rsidRPr="007C3820" w:rsidR="007C3820" w:rsidP="007C3820" w:rsidRDefault="007C3820" w14:paraId="2C53CB8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1997 legislative engagement for First Republic Bank on Assembly Bill 360 providing for banking and thrift company regulatory reform.</w:t>
            </w:r>
          </w:p>
          <w:p w:rsidRPr="007C3820" w:rsidR="007C3820" w:rsidP="007C3820" w:rsidRDefault="007C3820" w14:paraId="25B4F3E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1996 approval for SBC Communications, Inc. to acquire Pacific Telesis Corporation.</w:t>
            </w:r>
          </w:p>
          <w:p w:rsidRPr="007C3820" w:rsidR="007C3820" w:rsidP="007C3820" w:rsidRDefault="007C3820" w14:paraId="29FDE5A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1996 approvals of acquisition of First Interstate Bank by Wells Fargo, N.A.</w:t>
            </w:r>
          </w:p>
          <w:p w:rsidRPr="007C3820" w:rsidR="007C3820" w:rsidP="007C3820" w:rsidRDefault="007C3820" w14:paraId="0C5FC70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1995 initial registration and licensing of WMS Industries Inc. as manufacturer and distributor of gaming equipment.</w:t>
            </w:r>
          </w:p>
          <w:p w:rsidR="007C3820" w:rsidP="007C3820" w:rsidRDefault="007C3820" w14:paraId="34FA981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i/>
                <w:iCs/>
                <w:color w:val="09223F"/>
                <w:sz w:val="22"/>
                <w:szCs w:val="22"/>
              </w:rPr>
              <w:t>Kraft v. Jacka</w:t>
            </w:r>
            <w:r w:rsidRPr="007C3820">
              <w:rPr>
                <w:rFonts w:ascii="Century Gothic Light" w:hAnsi="Century Gothic Light" w:cs="Century Gothic Light"/>
                <w:color w:val="09223F"/>
                <w:sz w:val="22"/>
                <w:szCs w:val="22"/>
              </w:rPr>
              <w:t>, 872 F.2d 862 (9th Cir. 1989)</w:t>
            </w:r>
            <w:r>
              <w:rPr>
                <w:rFonts w:ascii="Century Gothic Light" w:hAnsi="Century Gothic Light" w:cs="Century Gothic Light"/>
                <w:color w:val="09223F"/>
                <w:sz w:val="22"/>
                <w:szCs w:val="22"/>
              </w:rPr>
              <w:t>.</w:t>
            </w:r>
          </w:p>
          <w:p w:rsidRPr="007C3820" w:rsidR="007C3820" w:rsidP="007C3820" w:rsidRDefault="007C3820" w14:paraId="3151B8CE" w14:textId="4DA7AF3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i/>
                <w:iCs/>
                <w:color w:val="09223F"/>
                <w:sz w:val="22"/>
                <w:szCs w:val="22"/>
              </w:rPr>
              <w:t>Hotel Employees v. State Gaming Control Bd.,</w:t>
            </w:r>
            <w:r w:rsidRPr="007C3820">
              <w:rPr>
                <w:rFonts w:ascii="Century Gothic Light" w:hAnsi="Century Gothic Light" w:cs="Century Gothic Light"/>
                <w:color w:val="09223F"/>
                <w:sz w:val="22"/>
                <w:szCs w:val="22"/>
              </w:rPr>
              <w:t xml:space="preserve"> 103 Nev. 588, 747 P.2d 878 (1987).</w:t>
            </w:r>
          </w:p>
        </w:tc>
      </w:tr>
      <w:tr w:rsidR="007C3820" w:rsidTr="7D951E79" w14:paraId="3F51B474" w14:textId="77777777">
        <w:trPr>
          <w:trHeight w:val="288"/>
        </w:trPr>
        <w:tc>
          <w:tcPr>
            <w:tcW w:w="10299" w:type="dxa"/>
            <w:tcMar/>
          </w:tcPr>
          <w:p w:rsidRPr="008F5DD7" w:rsidR="007C3820" w:rsidP="00996259" w:rsidRDefault="007C3820" w14:paraId="40F98435" w14:textId="77777777">
            <w:pPr>
              <w:pStyle w:val="BasicParagraph"/>
              <w:rPr>
                <w:rFonts w:ascii="Century Gothic Light" w:hAnsi="Century Gothic Light" w:cs="Century Gothic Light"/>
                <w:caps/>
                <w:color w:val="F5821F"/>
                <w:szCs w:val="28"/>
              </w:rPr>
            </w:pPr>
          </w:p>
        </w:tc>
      </w:tr>
      <w:tr w:rsidR="007C3820" w:rsidTr="7D951E79" w14:paraId="5CABD3DD" w14:textId="77777777">
        <w:trPr>
          <w:trHeight w:val="288"/>
        </w:trPr>
        <w:tc>
          <w:tcPr>
            <w:tcW w:w="10299" w:type="dxa"/>
            <w:tcMar/>
          </w:tcPr>
          <w:p w:rsidRPr="00996259" w:rsidR="007C3820" w:rsidP="007C3820" w:rsidRDefault="007C3820" w14:paraId="1C22E2B7" w14:textId="4E82C87B">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Pr="007C3820" w:rsidR="00311278" w:rsidP="00311278" w:rsidRDefault="00311278" w14:paraId="16486CA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i/>
                <w:iCs/>
                <w:color w:val="09223F"/>
                <w:sz w:val="22"/>
                <w:szCs w:val="22"/>
              </w:rPr>
              <w:t>Chambers USA,</w:t>
            </w:r>
            <w:r w:rsidRPr="007C3820">
              <w:rPr>
                <w:rFonts w:ascii="Century Gothic Light" w:hAnsi="Century Gothic Light" w:cs="Century Gothic Light"/>
                <w:color w:val="09223F"/>
                <w:sz w:val="22"/>
                <w:szCs w:val="22"/>
              </w:rPr>
              <w:t xml:space="preserve"> Leading Lawyers for Business, 2005-202</w:t>
            </w:r>
            <w:r>
              <w:rPr>
                <w:rFonts w:ascii="Century Gothic Light" w:hAnsi="Century Gothic Light" w:cs="Century Gothic Light"/>
                <w:color w:val="09223F"/>
                <w:sz w:val="22"/>
                <w:szCs w:val="22"/>
              </w:rPr>
              <w:t>1</w:t>
            </w:r>
          </w:p>
          <w:p w:rsidRPr="007C3820" w:rsidR="005F784E" w:rsidP="005F784E" w:rsidRDefault="005F784E" w14:paraId="37EACB1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i/>
                <w:iCs/>
                <w:color w:val="09223F"/>
                <w:sz w:val="22"/>
                <w:szCs w:val="22"/>
              </w:rPr>
              <w:t>Best Lawyers in America</w:t>
            </w:r>
            <w:r w:rsidRPr="007C3820">
              <w:rPr>
                <w:rFonts w:ascii="Century Gothic Light" w:hAnsi="Century Gothic Light" w:cs="Century Gothic Light"/>
                <w:color w:val="09223F"/>
                <w:sz w:val="22"/>
                <w:szCs w:val="22"/>
                <w:vertAlign w:val="superscript"/>
              </w:rPr>
              <w:t>®</w:t>
            </w:r>
            <w:r w:rsidRPr="007C3820">
              <w:rPr>
                <w:rFonts w:ascii="Century Gothic Light" w:hAnsi="Century Gothic Light" w:cs="Century Gothic Light"/>
                <w:i/>
                <w:iCs/>
                <w:color w:val="09223F"/>
                <w:sz w:val="22"/>
                <w:szCs w:val="22"/>
              </w:rPr>
              <w:t>,</w:t>
            </w:r>
            <w:r w:rsidRPr="007C3820">
              <w:rPr>
                <w:rFonts w:ascii="Century Gothic Light" w:hAnsi="Century Gothic Light" w:cs="Century Gothic Light"/>
                <w:color w:val="09223F"/>
                <w:sz w:val="22"/>
                <w:szCs w:val="22"/>
              </w:rPr>
              <w:t xml:space="preserve"> Administrative/Regulatory Law, Energy Law, Gaming Law, 2005-202</w:t>
            </w:r>
            <w:r>
              <w:rPr>
                <w:rFonts w:ascii="Century Gothic Light" w:hAnsi="Century Gothic Light" w:cs="Century Gothic Light"/>
                <w:color w:val="09223F"/>
                <w:sz w:val="22"/>
                <w:szCs w:val="22"/>
              </w:rPr>
              <w:t>1</w:t>
            </w:r>
          </w:p>
          <w:p w:rsidRPr="007C3820" w:rsidR="007C3820" w:rsidP="007C3820" w:rsidRDefault="007C3820" w14:paraId="36309976" w14:textId="5841FAE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i/>
                <w:iCs/>
                <w:color w:val="09223F"/>
                <w:sz w:val="22"/>
                <w:szCs w:val="22"/>
              </w:rPr>
              <w:t>Mountain States Super Lawyers</w:t>
            </w:r>
            <w:r w:rsidRPr="007C3820">
              <w:rPr>
                <w:rFonts w:ascii="Century Gothic Light" w:hAnsi="Century Gothic Light" w:cs="Century Gothic Light"/>
                <w:color w:val="09223F"/>
                <w:sz w:val="22"/>
                <w:szCs w:val="22"/>
                <w:vertAlign w:val="superscript"/>
              </w:rPr>
              <w:t>®</w:t>
            </w:r>
            <w:r w:rsidRPr="007C3820">
              <w:rPr>
                <w:rFonts w:ascii="Century Gothic Light" w:hAnsi="Century Gothic Light" w:cs="Century Gothic Light"/>
                <w:i/>
                <w:iCs/>
                <w:color w:val="09223F"/>
                <w:sz w:val="22"/>
                <w:szCs w:val="22"/>
              </w:rPr>
              <w:t>,</w:t>
            </w:r>
            <w:r w:rsidRPr="007C3820">
              <w:rPr>
                <w:rFonts w:ascii="Century Gothic Light" w:hAnsi="Century Gothic Light" w:cs="Century Gothic Light"/>
                <w:color w:val="09223F"/>
                <w:sz w:val="22"/>
                <w:szCs w:val="22"/>
              </w:rPr>
              <w:t xml:space="preserve"> Gaming, 2007-202</w:t>
            </w:r>
            <w:r w:rsidR="00453580">
              <w:rPr>
                <w:rFonts w:ascii="Century Gothic Light" w:hAnsi="Century Gothic Light" w:cs="Century Gothic Light"/>
                <w:color w:val="09223F"/>
                <w:sz w:val="22"/>
                <w:szCs w:val="22"/>
              </w:rPr>
              <w:t>1</w:t>
            </w:r>
          </w:p>
          <w:p w:rsidRPr="007C3820" w:rsidR="007C3820" w:rsidP="007C3820" w:rsidRDefault="007C3820" w14:paraId="0FC08F1F" w14:textId="0CEE918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i/>
                <w:iCs/>
                <w:color w:val="09223F"/>
                <w:sz w:val="22"/>
                <w:szCs w:val="22"/>
              </w:rPr>
              <w:t>Best Lawyers in America</w:t>
            </w:r>
            <w:r w:rsidRPr="007C3820">
              <w:rPr>
                <w:rFonts w:ascii="Century Gothic Light" w:hAnsi="Century Gothic Light" w:cs="Century Gothic Light"/>
                <w:color w:val="09223F"/>
                <w:sz w:val="22"/>
                <w:szCs w:val="22"/>
                <w:vertAlign w:val="superscript"/>
              </w:rPr>
              <w:t>®</w:t>
            </w:r>
            <w:r w:rsidRPr="007C3820">
              <w:rPr>
                <w:rFonts w:ascii="Century Gothic Light" w:hAnsi="Century Gothic Light" w:cs="Century Gothic Light"/>
                <w:i/>
                <w:iCs/>
                <w:color w:val="09223F"/>
                <w:sz w:val="22"/>
                <w:szCs w:val="22"/>
              </w:rPr>
              <w:t>,</w:t>
            </w:r>
            <w:r w:rsidRPr="007C3820">
              <w:rPr>
                <w:rFonts w:ascii="Century Gothic Light" w:hAnsi="Century Gothic Light" w:cs="Century Gothic Light"/>
                <w:color w:val="09223F"/>
                <w:sz w:val="22"/>
                <w:szCs w:val="22"/>
              </w:rPr>
              <w:t xml:space="preserve"> Lawyer of the Year, Gaming Law, 2015, 2019</w:t>
            </w:r>
          </w:p>
          <w:p w:rsidR="007C3820" w:rsidP="007C3820" w:rsidRDefault="007C3820" w14:paraId="0CBEF98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 xml:space="preserve">"Legal Elite," </w:t>
            </w:r>
            <w:r w:rsidRPr="007C3820">
              <w:rPr>
                <w:rFonts w:ascii="Century Gothic Light" w:hAnsi="Century Gothic Light" w:cs="Century Gothic Light"/>
                <w:i/>
                <w:iCs/>
                <w:color w:val="09223F"/>
                <w:sz w:val="22"/>
                <w:szCs w:val="22"/>
              </w:rPr>
              <w:t>Nevada Business Magazine</w:t>
            </w:r>
            <w:r w:rsidRPr="007C3820">
              <w:rPr>
                <w:rFonts w:ascii="Century Gothic Light" w:hAnsi="Century Gothic Light" w:cs="Century Gothic Light"/>
                <w:color w:val="09223F"/>
                <w:sz w:val="22"/>
                <w:szCs w:val="22"/>
              </w:rPr>
              <w:t>, 2017</w:t>
            </w:r>
          </w:p>
          <w:p w:rsidRPr="007C3820" w:rsidR="007C3820" w:rsidP="007C3820" w:rsidRDefault="007C3820" w14:paraId="06BEB17E" w14:textId="557F391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C3820">
              <w:rPr>
                <w:rFonts w:ascii="Century Gothic Light" w:hAnsi="Century Gothic Light" w:cs="Century Gothic Light"/>
                <w:color w:val="09223F"/>
                <w:sz w:val="22"/>
                <w:szCs w:val="22"/>
              </w:rPr>
              <w:t>AV</w:t>
            </w:r>
            <w:r w:rsidRPr="007C3820">
              <w:rPr>
                <w:rFonts w:ascii="Century Gothic Light" w:hAnsi="Century Gothic Light" w:cs="Century Gothic Light"/>
                <w:color w:val="09223F"/>
                <w:sz w:val="22"/>
                <w:szCs w:val="22"/>
                <w:vertAlign w:val="superscript"/>
              </w:rPr>
              <w:t>®</w:t>
            </w:r>
            <w:r w:rsidRPr="007C3820">
              <w:rPr>
                <w:rFonts w:ascii="Century Gothic Light" w:hAnsi="Century Gothic Light" w:cs="Century Gothic Light"/>
                <w:color w:val="09223F"/>
                <w:sz w:val="22"/>
                <w:szCs w:val="22"/>
              </w:rPr>
              <w:t xml:space="preserve"> Preeminent™ Peer Review Rated (the highest rating available), by Martindale-Hubbell</w:t>
            </w:r>
          </w:p>
        </w:tc>
      </w:tr>
      <w:tr w:rsidR="007C3820" w:rsidTr="7D951E79" w14:paraId="6FCE7FEB" w14:textId="77777777">
        <w:trPr>
          <w:trHeight w:val="288"/>
        </w:trPr>
        <w:tc>
          <w:tcPr>
            <w:tcW w:w="10299" w:type="dxa"/>
            <w:tcMar/>
          </w:tcPr>
          <w:p w:rsidRPr="008F5DD7" w:rsidR="007C3820" w:rsidP="00996259" w:rsidRDefault="007C3820" w14:paraId="57C3061E" w14:textId="77777777">
            <w:pPr>
              <w:pStyle w:val="BasicParagraph"/>
              <w:rPr>
                <w:rFonts w:ascii="Century Gothic Light" w:hAnsi="Century Gothic Light" w:cs="Century Gothic Light"/>
                <w:caps/>
                <w:color w:val="F5821F"/>
                <w:szCs w:val="28"/>
              </w:rPr>
            </w:pPr>
          </w:p>
        </w:tc>
      </w:tr>
      <w:tr w:rsidR="007C3820" w:rsidTr="7D951E79" w14:paraId="5F66C4E6" w14:textId="77777777">
        <w:trPr>
          <w:trHeight w:val="288"/>
        </w:trPr>
        <w:tc>
          <w:tcPr>
            <w:tcW w:w="10299" w:type="dxa"/>
            <w:tcMar/>
          </w:tcPr>
          <w:p w:rsidRPr="00996259" w:rsidR="007C3820" w:rsidP="007C3820" w:rsidRDefault="007C3820" w14:paraId="33AC2A4E" w14:textId="28748981">
            <w:pPr>
              <w:pStyle w:val="BasicParagraph"/>
              <w:rPr>
                <w:rFonts w:ascii="Century Gothic Light" w:hAnsi="Century Gothic Light" w:cs="Century Gothic Light"/>
                <w:caps/>
                <w:color w:val="F5821F"/>
                <w:sz w:val="28"/>
                <w:szCs w:val="32"/>
              </w:rPr>
            </w:pPr>
            <w:r w:rsidRPr="7D951E79" w:rsidR="7D951E79">
              <w:rPr>
                <w:rFonts w:ascii="Century Gothic Light" w:hAnsi="Century Gothic Light" w:cs="Century Gothic Light"/>
                <w:caps w:val="1"/>
                <w:color w:val="F5821F"/>
                <w:sz w:val="28"/>
                <w:szCs w:val="28"/>
              </w:rPr>
              <w:t>articles and presentations</w:t>
            </w:r>
          </w:p>
          <w:p w:rsidR="7D951E79" w:rsidP="7D951E79" w:rsidRDefault="7D951E79" w14:paraId="4C1F3899" w14:textId="79363AAB">
            <w:pPr>
              <w:pStyle w:val="BasicParagraph"/>
              <w:numPr>
                <w:ilvl w:val="0"/>
                <w:numId w:val="1"/>
              </w:numPr>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Author, "Cybersecurity Changes by the Gaming Commission," Fennemore Client Alert, December 30, 2022</w:t>
            </w:r>
          </w:p>
          <w:p w:rsidRPr="00DF6F84" w:rsidR="00DF6F84" w:rsidP="00DF6F84" w:rsidRDefault="00DF6F84" w14:paraId="0AAF2A8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Quoted, "Lawsuit filed against Nevada mail-in voting law," KTVN 2 News, August 5, 2020</w:t>
            </w:r>
          </w:p>
          <w:p w:rsidRPr="00DF6F84" w:rsidR="00DF6F84" w:rsidP="00DF6F84" w:rsidRDefault="00DF6F84" w14:paraId="7CFE638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Co-author, "Nevada Creates Tax Amnesty Program Providing Relief From Penalties and Interest," Fennemore Client Alert, July 24, 2020</w:t>
            </w:r>
          </w:p>
          <w:p w:rsidRPr="00DF6F84" w:rsidR="00DF6F84" w:rsidP="00DF6F84" w:rsidRDefault="00DF6F84" w14:paraId="463C91D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Co-author, "Nevada Businesses Should Not Delay Renewing Their Licenses and Permits," Fennemore Client Alert, April 23, 2020</w:t>
            </w:r>
          </w:p>
          <w:p w:rsidRPr="00DF6F84" w:rsidR="00DF6F84" w:rsidP="00DF6F84" w:rsidRDefault="00DF6F84" w14:paraId="1CB3219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 xml:space="preserve">Quoted, "Betting on Nevada: Gaming Industry Outlook," </w:t>
            </w:r>
            <w:r w:rsidRPr="7D951E79" w:rsidR="7D951E79">
              <w:rPr>
                <w:rFonts w:ascii="Century Gothic Light" w:hAnsi="Century Gothic Light" w:cs="Century Gothic Light"/>
                <w:i w:val="1"/>
                <w:iCs w:val="1"/>
                <w:color w:val="09223F"/>
                <w:sz w:val="22"/>
                <w:szCs w:val="22"/>
              </w:rPr>
              <w:t xml:space="preserve">Nevada Business Magazine, </w:t>
            </w:r>
            <w:r w:rsidRPr="7D951E79" w:rsidR="7D951E79">
              <w:rPr>
                <w:rFonts w:ascii="Century Gothic Light" w:hAnsi="Century Gothic Light" w:cs="Century Gothic Light"/>
                <w:color w:val="09223F"/>
                <w:sz w:val="22"/>
                <w:szCs w:val="22"/>
              </w:rPr>
              <w:t>February 1, 2020</w:t>
            </w:r>
          </w:p>
          <w:p w:rsidRPr="00DF6F84" w:rsidR="00DF6F84" w:rsidP="00DF6F84" w:rsidRDefault="00DF6F84" w14:paraId="1F1CAB2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 xml:space="preserve">Author, "OPINION: Plea for further restrictions on ex parte communications with the Nevada Gaming Commission is misguided," </w:t>
            </w:r>
            <w:r w:rsidRPr="7D951E79" w:rsidR="7D951E79">
              <w:rPr>
                <w:rFonts w:ascii="Century Gothic Light" w:hAnsi="Century Gothic Light" w:cs="Century Gothic Light"/>
                <w:i w:val="1"/>
                <w:iCs w:val="1"/>
                <w:color w:val="09223F"/>
                <w:sz w:val="22"/>
                <w:szCs w:val="22"/>
              </w:rPr>
              <w:t>CDC Gaming Reports, Inc</w:t>
            </w:r>
            <w:r w:rsidRPr="7D951E79" w:rsidR="7D951E79">
              <w:rPr>
                <w:rFonts w:ascii="Century Gothic Light" w:hAnsi="Century Gothic Light" w:cs="Century Gothic Light"/>
                <w:color w:val="09223F"/>
                <w:sz w:val="22"/>
                <w:szCs w:val="22"/>
              </w:rPr>
              <w:t>., January 24, 2020</w:t>
            </w:r>
          </w:p>
          <w:p w:rsidRPr="00DF6F84" w:rsidR="00DF6F84" w:rsidP="00DF6F84" w:rsidRDefault="00DF6F84" w14:paraId="29DF807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 xml:space="preserve">Quoted, "Nevada Gaming Attorneys Caution Lawmakers on Sports Betting: 'You Really Have to Give It Some Serious Thought'," </w:t>
            </w:r>
            <w:r w:rsidRPr="7D951E79" w:rsidR="7D951E79">
              <w:rPr>
                <w:rFonts w:ascii="Century Gothic Light" w:hAnsi="Century Gothic Light" w:cs="Century Gothic Light"/>
                <w:i w:val="1"/>
                <w:iCs w:val="1"/>
                <w:color w:val="09223F"/>
                <w:sz w:val="22"/>
                <w:szCs w:val="22"/>
              </w:rPr>
              <w:t>The Nevada Independent,</w:t>
            </w:r>
            <w:r w:rsidRPr="7D951E79" w:rsidR="7D951E79">
              <w:rPr>
                <w:rFonts w:ascii="Century Gothic Light" w:hAnsi="Century Gothic Light" w:cs="Century Gothic Light"/>
                <w:color w:val="09223F"/>
                <w:sz w:val="22"/>
                <w:szCs w:val="22"/>
              </w:rPr>
              <w:t xml:space="preserve"> January 14, 2020</w:t>
            </w:r>
          </w:p>
          <w:p w:rsidRPr="00DF6F84" w:rsidR="00DF6F84" w:rsidP="00DF6F84" w:rsidRDefault="00DF6F84" w14:paraId="7E511C8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Presenter, "Best Practices for the Future of Sports Betting," NCLGS Winter Meeting, January 2020</w:t>
            </w:r>
          </w:p>
          <w:p w:rsidRPr="00DF6F84" w:rsidR="00DF6F84" w:rsidP="00DF6F84" w:rsidRDefault="00DF6F84" w14:paraId="08BFDD6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 xml:space="preserve">Author, "A Missed Chance: Nevada's Rejection of Adaptive Play for Skill-Based Games," </w:t>
            </w:r>
            <w:r w:rsidRPr="7D951E79" w:rsidR="7D951E79">
              <w:rPr>
                <w:rFonts w:ascii="Century Gothic Light" w:hAnsi="Century Gothic Light" w:cs="Century Gothic Light"/>
                <w:i w:val="1"/>
                <w:iCs w:val="1"/>
                <w:color w:val="09223F"/>
                <w:sz w:val="22"/>
                <w:szCs w:val="22"/>
              </w:rPr>
              <w:t>Gaming Law Review,</w:t>
            </w:r>
            <w:r w:rsidRPr="7D951E79" w:rsidR="7D951E79">
              <w:rPr>
                <w:rFonts w:ascii="Century Gothic Light" w:hAnsi="Century Gothic Light" w:cs="Century Gothic Light"/>
                <w:color w:val="09223F"/>
                <w:sz w:val="22"/>
                <w:szCs w:val="22"/>
              </w:rPr>
              <w:t xml:space="preserve"> June 2018</w:t>
            </w:r>
          </w:p>
          <w:p w:rsidRPr="00DF6F84" w:rsidR="00DF6F84" w:rsidP="00DF6F84" w:rsidRDefault="00DF6F84" w14:paraId="439C9B9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Speaker, "Regulatory Challenges: Problems and Solutions," IMGL Spring Conference, March 9, 2018</w:t>
            </w:r>
          </w:p>
          <w:p w:rsidRPr="00DF6F84" w:rsidR="00DF6F84" w:rsidP="00DF6F84" w:rsidRDefault="00DF6F84" w14:paraId="6A09E96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Quoted, "PropSwap: A Company Looking to Hedge Your Bet," ESPN, November 8, 2017</w:t>
            </w:r>
          </w:p>
          <w:p w:rsidRPr="00DF6F84" w:rsidR="00DF6F84" w:rsidP="00DF6F84" w:rsidRDefault="00DF6F84" w14:paraId="194B6CA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Co-author, "Nevada Energy Choice," Fennemore Client Alert, October 12, 2017</w:t>
            </w:r>
          </w:p>
          <w:p w:rsidRPr="00DF6F84" w:rsidR="00DF6F84" w:rsidP="00DF6F84" w:rsidRDefault="00DF6F84" w14:paraId="7D934B6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Author, "The Next Evolution in Gaming Law,"</w:t>
            </w:r>
            <w:r w:rsidRPr="7D951E79" w:rsidR="7D951E79">
              <w:rPr>
                <w:rFonts w:ascii="Century Gothic Light" w:hAnsi="Century Gothic Light" w:cs="Century Gothic Light"/>
                <w:i w:val="1"/>
                <w:iCs w:val="1"/>
                <w:color w:val="09223F"/>
                <w:sz w:val="22"/>
                <w:szCs w:val="22"/>
              </w:rPr>
              <w:t xml:space="preserve"> Super Lawyers</w:t>
            </w:r>
            <w:r w:rsidRPr="7D951E79" w:rsidR="7D951E79">
              <w:rPr>
                <w:rFonts w:ascii="Century Gothic Light" w:hAnsi="Century Gothic Light" w:cs="Century Gothic Light"/>
                <w:color w:val="09223F"/>
                <w:sz w:val="22"/>
                <w:szCs w:val="22"/>
              </w:rPr>
              <w:t>, 2016</w:t>
            </w:r>
          </w:p>
          <w:p w:rsidRPr="00DF6F84" w:rsidR="00DF6F84" w:rsidP="00DF6F84" w:rsidRDefault="00DF6F84" w14:paraId="16BFC1D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 xml:space="preserve">Author, "Nevada Lobbying, PACs and Campaign Finance," </w:t>
            </w:r>
            <w:r w:rsidRPr="7D951E79" w:rsidR="7D951E79">
              <w:rPr>
                <w:rFonts w:ascii="Century Gothic Light" w:hAnsi="Century Gothic Light" w:cs="Century Gothic Light"/>
                <w:i w:val="1"/>
                <w:iCs w:val="1"/>
                <w:color w:val="09223F"/>
                <w:sz w:val="22"/>
                <w:szCs w:val="22"/>
              </w:rPr>
              <w:t>SCG Legal,</w:t>
            </w:r>
            <w:r w:rsidRPr="7D951E79" w:rsidR="7D951E79">
              <w:rPr>
                <w:rFonts w:ascii="Century Gothic Light" w:hAnsi="Century Gothic Light" w:cs="Century Gothic Light"/>
                <w:color w:val="09223F"/>
                <w:sz w:val="22"/>
                <w:szCs w:val="22"/>
              </w:rPr>
              <w:t xml:space="preserve"> 2015</w:t>
            </w:r>
          </w:p>
          <w:p w:rsidRPr="00DF6F84" w:rsidR="00DF6F84" w:rsidP="00DF6F84" w:rsidRDefault="00DF6F84" w14:paraId="557C742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 xml:space="preserve">Author, "Gaming Law Jurisdictional Comparison: Nevada," </w:t>
            </w:r>
            <w:r w:rsidRPr="7D951E79" w:rsidR="7D951E79">
              <w:rPr>
                <w:rFonts w:ascii="Century Gothic Light" w:hAnsi="Century Gothic Light" w:cs="Century Gothic Light"/>
                <w:i w:val="1"/>
                <w:iCs w:val="1"/>
                <w:color w:val="09223F"/>
                <w:sz w:val="22"/>
                <w:szCs w:val="22"/>
              </w:rPr>
              <w:t>Thompson Reuters European Lawyer Reference Series,</w:t>
            </w:r>
            <w:r w:rsidRPr="7D951E79" w:rsidR="7D951E79">
              <w:rPr>
                <w:rFonts w:ascii="Century Gothic Light" w:hAnsi="Century Gothic Light" w:cs="Century Gothic Light"/>
                <w:color w:val="09223F"/>
                <w:sz w:val="22"/>
                <w:szCs w:val="22"/>
              </w:rPr>
              <w:t xml:space="preserve"> 2014</w:t>
            </w:r>
          </w:p>
          <w:p w:rsidRPr="00DF6F84" w:rsidR="00DF6F84" w:rsidP="00DF6F84" w:rsidRDefault="00DF6F84" w14:paraId="2281D41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 xml:space="preserve">Author, "A Tie That Binds: Nevada Embraces Multi-Jurisdictional Progressive Prize Systems," </w:t>
            </w:r>
            <w:r w:rsidRPr="7D951E79" w:rsidR="7D951E79">
              <w:rPr>
                <w:rFonts w:ascii="Century Gothic Light" w:hAnsi="Century Gothic Light" w:cs="Century Gothic Light"/>
                <w:i w:val="1"/>
                <w:iCs w:val="1"/>
                <w:color w:val="09223F"/>
                <w:sz w:val="22"/>
                <w:szCs w:val="22"/>
              </w:rPr>
              <w:t>10 Casino Lawyer 1</w:t>
            </w:r>
            <w:r w:rsidRPr="7D951E79" w:rsidR="7D951E79">
              <w:rPr>
                <w:rFonts w:ascii="Century Gothic Light" w:hAnsi="Century Gothic Light" w:cs="Century Gothic Light"/>
                <w:color w:val="09223F"/>
                <w:sz w:val="22"/>
                <w:szCs w:val="22"/>
              </w:rPr>
              <w:t>, Spring 2014</w:t>
            </w:r>
          </w:p>
          <w:p w:rsidRPr="00DF6F84" w:rsidR="00DF6F84" w:rsidP="00DF6F84" w:rsidRDefault="00DF6F84" w14:paraId="69B245D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 xml:space="preserve">Author, "Regulation of Gaming Device Software Development: Nevada's Paradigm Shift on Independent Contractors," </w:t>
            </w:r>
            <w:r w:rsidRPr="7D951E79" w:rsidR="7D951E79">
              <w:rPr>
                <w:rFonts w:ascii="Century Gothic Light" w:hAnsi="Century Gothic Light" w:cs="Century Gothic Light"/>
                <w:i w:val="1"/>
                <w:iCs w:val="1"/>
                <w:color w:val="09223F"/>
                <w:sz w:val="22"/>
                <w:szCs w:val="22"/>
              </w:rPr>
              <w:t>2 UNLV Gaming Law Journal 1</w:t>
            </w:r>
            <w:r w:rsidRPr="7D951E79" w:rsidR="7D951E79">
              <w:rPr>
                <w:rFonts w:ascii="Century Gothic Light" w:hAnsi="Century Gothic Light" w:cs="Century Gothic Light"/>
                <w:color w:val="09223F"/>
                <w:sz w:val="22"/>
                <w:szCs w:val="22"/>
              </w:rPr>
              <w:t>, 2011</w:t>
            </w:r>
          </w:p>
          <w:p w:rsidRPr="00DF6F84" w:rsidR="00DF6F84" w:rsidP="00DF6F84" w:rsidRDefault="00DF6F84" w14:paraId="772EB1A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Panelist, "Post-2017 Hoover Power Contracting: Building a Framework for Challenges of Delivering Hydropower for the Next Fifty Years," State Bar of Nevada Section on Energy, Utilities and Communications Law Section Annual Conference, April 29, 2016</w:t>
            </w:r>
          </w:p>
          <w:p w:rsidRPr="00BF495D" w:rsidR="007C3820" w:rsidP="00DF6F84" w:rsidRDefault="00DF6F84" w14:paraId="6DE4037D" w14:textId="5563593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Panelist, "Regulatory Developments on Skill Based and Hybrid Games," International Masters of Gaming Law, Spring Meeting, April 22, 2016</w:t>
            </w:r>
          </w:p>
        </w:tc>
      </w:tr>
      <w:tr w:rsidR="007C3820" w:rsidTr="7D951E79" w14:paraId="1F93AB90" w14:textId="77777777">
        <w:trPr>
          <w:trHeight w:val="288"/>
        </w:trPr>
        <w:tc>
          <w:tcPr>
            <w:tcW w:w="10299" w:type="dxa"/>
            <w:tcMar/>
          </w:tcPr>
          <w:p w:rsidRPr="008F5DD7" w:rsidR="007C3820" w:rsidP="00996259" w:rsidRDefault="007C3820" w14:paraId="06DB2128" w14:textId="77777777">
            <w:pPr>
              <w:pStyle w:val="BasicParagraph"/>
              <w:rPr>
                <w:rFonts w:ascii="Century Gothic Light" w:hAnsi="Century Gothic Light" w:cs="Century Gothic Light"/>
                <w:caps/>
                <w:color w:val="F5821F"/>
                <w:szCs w:val="28"/>
              </w:rPr>
            </w:pPr>
          </w:p>
        </w:tc>
      </w:tr>
      <w:tr w:rsidR="00706534" w:rsidTr="7D951E79" w14:paraId="05B11199" w14:textId="77777777">
        <w:trPr>
          <w:trHeight w:val="288"/>
        </w:trPr>
        <w:tc>
          <w:tcPr>
            <w:tcW w:w="10299" w:type="dxa"/>
            <w:tcMar/>
          </w:tcPr>
          <w:p w:rsidRPr="00996259" w:rsidR="00706534" w:rsidP="00706534" w:rsidRDefault="00706534" w14:paraId="06C289E6" w14:textId="70534FF0">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BF495D" w:rsidR="00BF495D" w:rsidP="00BF495D" w:rsidRDefault="00BF495D" w14:paraId="3E737A5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Member, Clark County Bar Association</w:t>
            </w:r>
          </w:p>
          <w:p w:rsidRPr="00BF495D" w:rsidR="00BF495D" w:rsidP="00BF495D" w:rsidRDefault="00BF495D" w14:paraId="6F2A525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Member, Washoe County Bar Association</w:t>
            </w:r>
          </w:p>
          <w:p w:rsidRPr="00BF495D" w:rsidR="00BF495D" w:rsidP="00BF495D" w:rsidRDefault="00BF495D" w14:paraId="45A4FC6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Member, American Bar Association</w:t>
            </w:r>
          </w:p>
          <w:p w:rsidRPr="00BF495D" w:rsidR="00BF495D" w:rsidP="00BF495D" w:rsidRDefault="00BF495D" w14:paraId="657351A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Member, International Masters of Gaming Law</w:t>
            </w:r>
          </w:p>
          <w:p w:rsidR="00BF495D" w:rsidP="00BF495D" w:rsidRDefault="00BF495D" w14:paraId="141179BF" w14:textId="1549E69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Member, International Association of Gaming Advisors</w:t>
            </w:r>
          </w:p>
          <w:p w:rsidRPr="00BF495D" w:rsidR="00F458C1" w:rsidP="00BF495D" w:rsidRDefault="00F458C1" w14:paraId="4F1F0A50" w14:textId="18E673A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Chair, Nevada Taxicab Authority Board</w:t>
            </w:r>
          </w:p>
          <w:p w:rsidRPr="00BF495D" w:rsidR="00BF495D" w:rsidP="00BF495D" w:rsidRDefault="00BF495D" w14:paraId="7D785FB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Nevada State Bar Sections on Gaming Law, and Energy, Utilities &amp; Communication Law</w:t>
            </w:r>
          </w:p>
          <w:p w:rsidRPr="00BF495D" w:rsidR="00BF495D" w:rsidP="00BF495D" w:rsidRDefault="00BF495D" w14:paraId="0DFBD1D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Advisory Board, UNLV Gaming Law Journal, William S. Boyd School of Law</w:t>
            </w:r>
          </w:p>
          <w:p w:rsidRPr="00BF495D" w:rsidR="00BF495D" w:rsidP="00BF495D" w:rsidRDefault="00BF495D" w14:paraId="10ADABA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Visiting Instructor, Judicial Studies Program on Gaming and the Law, National Judicial College</w:t>
            </w:r>
          </w:p>
          <w:p w:rsidRPr="00BF495D" w:rsidR="00BF495D" w:rsidP="00BF495D" w:rsidRDefault="00BF495D" w14:paraId="719DEB6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Audit Committee, Greater Nevada Credit Union (2012-2020)</w:t>
            </w:r>
          </w:p>
          <w:p w:rsidRPr="00BF495D" w:rsidR="00BF495D" w:rsidP="00BF495D" w:rsidRDefault="00BF495D" w14:paraId="525C6C7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Audit Committee, Washoe County School District (2006-2016)</w:t>
            </w:r>
          </w:p>
          <w:p w:rsidRPr="00BF495D" w:rsidR="00BF495D" w:rsidP="00BF495D" w:rsidRDefault="00BF495D" w14:paraId="3EB9E4E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Nevada State Bar Northern Disciplinary Board (2002-2014)</w:t>
            </w:r>
          </w:p>
          <w:p w:rsidRPr="00BF495D" w:rsidR="00BF495D" w:rsidP="00BF495D" w:rsidRDefault="00BF495D" w14:paraId="7C902DD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Nevada Standing Committee on Judicial Ethics &amp; Election Practices (2003-2011)</w:t>
            </w:r>
          </w:p>
          <w:p w:rsidRPr="00706534" w:rsidR="00706534" w:rsidP="00BF495D" w:rsidRDefault="00BF495D" w14:paraId="58A32436" w14:textId="423A7CF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Nevada Private Investigators Licensing Board (1984-1985)</w:t>
            </w:r>
          </w:p>
        </w:tc>
      </w:tr>
      <w:tr w:rsidR="00706534" w:rsidTr="7D951E79" w14:paraId="509F7FCF" w14:textId="77777777">
        <w:trPr>
          <w:trHeight w:val="288"/>
        </w:trPr>
        <w:tc>
          <w:tcPr>
            <w:tcW w:w="10299" w:type="dxa"/>
            <w:tcMar/>
          </w:tcPr>
          <w:p w:rsidRPr="008F5DD7" w:rsidR="00706534" w:rsidP="00996259" w:rsidRDefault="00706534" w14:paraId="22B33907" w14:textId="77777777">
            <w:pPr>
              <w:pStyle w:val="BasicParagraph"/>
              <w:rPr>
                <w:rFonts w:ascii="Century Gothic Light" w:hAnsi="Century Gothic Light" w:cs="Century Gothic Light"/>
                <w:caps/>
                <w:color w:val="F5821F"/>
                <w:szCs w:val="28"/>
              </w:rPr>
            </w:pPr>
          </w:p>
        </w:tc>
      </w:tr>
      <w:tr w:rsidR="00996259" w:rsidTr="7D951E79"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BF495D" w:rsidR="00BF495D" w:rsidP="00BF495D" w:rsidRDefault="00BF495D" w14:paraId="0927F5F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California</w:t>
            </w:r>
          </w:p>
          <w:p w:rsidRPr="00BF495D" w:rsidR="00BF495D" w:rsidP="00BF495D" w:rsidRDefault="00BF495D" w14:paraId="5D14142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Nevada</w:t>
            </w:r>
          </w:p>
          <w:p w:rsidRPr="00BF495D" w:rsidR="00BF495D" w:rsidP="00BF495D" w:rsidRDefault="00BF495D" w14:paraId="66559C3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U.S. District Court, District of Nevada</w:t>
            </w:r>
          </w:p>
          <w:p w:rsidRPr="00BF495D" w:rsidR="00BF495D" w:rsidP="00BF495D" w:rsidRDefault="00BF495D" w14:paraId="7D57D75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U.S. Court of Appeals, Ninth Circuit</w:t>
            </w:r>
          </w:p>
          <w:p w:rsidRPr="004409F8" w:rsidR="00AD3FAF" w:rsidP="00BF495D" w:rsidRDefault="00BF495D" w14:paraId="044073AE" w14:textId="2DECA56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7D951E79" w:rsidR="7D951E79">
              <w:rPr>
                <w:rFonts w:ascii="Century Gothic Light" w:hAnsi="Century Gothic Light" w:cs="Century Gothic Light"/>
                <w:color w:val="09223F"/>
                <w:sz w:val="22"/>
                <w:szCs w:val="22"/>
              </w:rPr>
              <w:t>U.S. Supreme Court</w:t>
            </w:r>
          </w:p>
        </w:tc>
      </w:tr>
    </w:tbl>
    <w:p w:rsidR="008700A0" w:rsidP="0012489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B450B" w:rsidP="008700A0" w:rsidRDefault="006B450B" w14:paraId="79F53B99" w14:textId="77777777">
      <w:pPr>
        <w:spacing w:after="0" w:line="240" w:lineRule="auto"/>
      </w:pPr>
      <w:r>
        <w:separator/>
      </w:r>
    </w:p>
  </w:endnote>
  <w:endnote w:type="continuationSeparator" w:id="0">
    <w:p w:rsidR="006B450B" w:rsidP="008700A0" w:rsidRDefault="006B450B" w14:paraId="212409E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altName w:val="Calibri"/>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B450B" w:rsidP="008700A0" w:rsidRDefault="006B450B" w14:paraId="7AF4A19C" w14:textId="77777777">
      <w:pPr>
        <w:spacing w:after="0" w:line="240" w:lineRule="auto"/>
      </w:pPr>
      <w:r>
        <w:separator/>
      </w:r>
    </w:p>
  </w:footnote>
  <w:footnote w:type="continuationSeparator" w:id="0">
    <w:p w:rsidR="006B450B" w:rsidP="008700A0" w:rsidRDefault="006B450B" w14:paraId="1E13D47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5679CF57">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1E6C50BC">
          <wp:simplePos x="0" y="0"/>
          <wp:positionH relativeFrom="margin">
            <wp:posOffset>-457200</wp:posOffset>
          </wp:positionH>
          <wp:positionV relativeFrom="margin">
            <wp:posOffset>-467360</wp:posOffset>
          </wp:positionV>
          <wp:extent cx="7772356" cy="10058343"/>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6" cy="100583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6EB78B9"/>
    <w:multiLevelType w:val="multilevel"/>
    <w:tmpl w:val="3F1CA8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9"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6EAE4FFE"/>
    <w:multiLevelType w:val="hybridMultilevel"/>
    <w:tmpl w:val="2FAA10F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5"/>
  </w:num>
  <w:num w:numId="2">
    <w:abstractNumId w:val="7"/>
  </w:num>
  <w:num w:numId="3">
    <w:abstractNumId w:val="18"/>
  </w:num>
  <w:num w:numId="4">
    <w:abstractNumId w:val="5"/>
  </w:num>
  <w:num w:numId="5">
    <w:abstractNumId w:val="6"/>
  </w:num>
  <w:num w:numId="6">
    <w:abstractNumId w:val="22"/>
  </w:num>
  <w:num w:numId="7">
    <w:abstractNumId w:val="21"/>
  </w:num>
  <w:num w:numId="8">
    <w:abstractNumId w:val="17"/>
  </w:num>
  <w:num w:numId="9">
    <w:abstractNumId w:val="9"/>
  </w:num>
  <w:num w:numId="10">
    <w:abstractNumId w:val="14"/>
  </w:num>
  <w:num w:numId="11">
    <w:abstractNumId w:val="23"/>
  </w:num>
  <w:num w:numId="12">
    <w:abstractNumId w:val="10"/>
  </w:num>
  <w:num w:numId="13">
    <w:abstractNumId w:val="2"/>
  </w:num>
  <w:num w:numId="14">
    <w:abstractNumId w:val="26"/>
  </w:num>
  <w:num w:numId="15">
    <w:abstractNumId w:val="27"/>
  </w:num>
  <w:num w:numId="16">
    <w:abstractNumId w:val="15"/>
  </w:num>
  <w:num w:numId="17">
    <w:abstractNumId w:val="16"/>
  </w:num>
  <w:num w:numId="18">
    <w:abstractNumId w:val="1"/>
  </w:num>
  <w:num w:numId="19">
    <w:abstractNumId w:val="20"/>
  </w:num>
  <w:num w:numId="20">
    <w:abstractNumId w:val="24"/>
  </w:num>
  <w:num w:numId="21">
    <w:abstractNumId w:val="11"/>
  </w:num>
  <w:num w:numId="22">
    <w:abstractNumId w:val="28"/>
  </w:num>
  <w:num w:numId="23">
    <w:abstractNumId w:val="12"/>
  </w:num>
  <w:num w:numId="24">
    <w:abstractNumId w:val="19"/>
  </w:num>
  <w:num w:numId="25">
    <w:abstractNumId w:val="8"/>
  </w:num>
  <w:num w:numId="26">
    <w:abstractNumId w:val="13"/>
  </w:num>
  <w:num w:numId="27">
    <w:abstractNumId w:val="3"/>
  </w:num>
  <w:num w:numId="28">
    <w:abstractNumId w:val="0"/>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00DAC"/>
    <w:rsid w:val="0002353F"/>
    <w:rsid w:val="00053A2B"/>
    <w:rsid w:val="0005599F"/>
    <w:rsid w:val="000665FD"/>
    <w:rsid w:val="000B29E6"/>
    <w:rsid w:val="000D2207"/>
    <w:rsid w:val="000E2684"/>
    <w:rsid w:val="000E3ECF"/>
    <w:rsid w:val="000F6FAD"/>
    <w:rsid w:val="00100BB9"/>
    <w:rsid w:val="001138EA"/>
    <w:rsid w:val="00124890"/>
    <w:rsid w:val="0013703F"/>
    <w:rsid w:val="0016204E"/>
    <w:rsid w:val="0019269A"/>
    <w:rsid w:val="00197DFC"/>
    <w:rsid w:val="001C6685"/>
    <w:rsid w:val="001F1000"/>
    <w:rsid w:val="00216E51"/>
    <w:rsid w:val="00217188"/>
    <w:rsid w:val="0021738A"/>
    <w:rsid w:val="00253B2D"/>
    <w:rsid w:val="002548B5"/>
    <w:rsid w:val="00266E0F"/>
    <w:rsid w:val="00290ABD"/>
    <w:rsid w:val="00290F41"/>
    <w:rsid w:val="00295769"/>
    <w:rsid w:val="002A2E90"/>
    <w:rsid w:val="002C5C08"/>
    <w:rsid w:val="002D5A17"/>
    <w:rsid w:val="00311278"/>
    <w:rsid w:val="00312CFC"/>
    <w:rsid w:val="003203C6"/>
    <w:rsid w:val="0032458F"/>
    <w:rsid w:val="00324613"/>
    <w:rsid w:val="00325FC1"/>
    <w:rsid w:val="00332732"/>
    <w:rsid w:val="00332C98"/>
    <w:rsid w:val="00333AD5"/>
    <w:rsid w:val="00340AE6"/>
    <w:rsid w:val="00345563"/>
    <w:rsid w:val="00371E4C"/>
    <w:rsid w:val="003779A7"/>
    <w:rsid w:val="00377FE6"/>
    <w:rsid w:val="00383C77"/>
    <w:rsid w:val="0039208F"/>
    <w:rsid w:val="003D6259"/>
    <w:rsid w:val="00405313"/>
    <w:rsid w:val="004409F8"/>
    <w:rsid w:val="00442803"/>
    <w:rsid w:val="004533D0"/>
    <w:rsid w:val="00453580"/>
    <w:rsid w:val="004B0B42"/>
    <w:rsid w:val="004B0FA7"/>
    <w:rsid w:val="00515DE9"/>
    <w:rsid w:val="00517E18"/>
    <w:rsid w:val="005430CB"/>
    <w:rsid w:val="005501CE"/>
    <w:rsid w:val="00551687"/>
    <w:rsid w:val="00566492"/>
    <w:rsid w:val="005777E4"/>
    <w:rsid w:val="00587218"/>
    <w:rsid w:val="00590A25"/>
    <w:rsid w:val="005A05EE"/>
    <w:rsid w:val="005A0F4F"/>
    <w:rsid w:val="005B4C1E"/>
    <w:rsid w:val="005D3709"/>
    <w:rsid w:val="005F080B"/>
    <w:rsid w:val="005F784E"/>
    <w:rsid w:val="00617B93"/>
    <w:rsid w:val="00644C31"/>
    <w:rsid w:val="00655093"/>
    <w:rsid w:val="00696E00"/>
    <w:rsid w:val="006B14E5"/>
    <w:rsid w:val="006B450B"/>
    <w:rsid w:val="006C3477"/>
    <w:rsid w:val="00706534"/>
    <w:rsid w:val="00712D7B"/>
    <w:rsid w:val="00733A23"/>
    <w:rsid w:val="0076317B"/>
    <w:rsid w:val="00772ABB"/>
    <w:rsid w:val="00772C3A"/>
    <w:rsid w:val="00772D57"/>
    <w:rsid w:val="00795E7E"/>
    <w:rsid w:val="007C3820"/>
    <w:rsid w:val="007C384C"/>
    <w:rsid w:val="007D2922"/>
    <w:rsid w:val="007D708C"/>
    <w:rsid w:val="007F5739"/>
    <w:rsid w:val="008124A3"/>
    <w:rsid w:val="00841578"/>
    <w:rsid w:val="0086010D"/>
    <w:rsid w:val="00863372"/>
    <w:rsid w:val="008658C1"/>
    <w:rsid w:val="008700A0"/>
    <w:rsid w:val="00886858"/>
    <w:rsid w:val="008A29E8"/>
    <w:rsid w:val="008A6430"/>
    <w:rsid w:val="008B0E1C"/>
    <w:rsid w:val="008D168A"/>
    <w:rsid w:val="008D5FA8"/>
    <w:rsid w:val="008D6B2D"/>
    <w:rsid w:val="008E06BB"/>
    <w:rsid w:val="008E6056"/>
    <w:rsid w:val="008F5DD7"/>
    <w:rsid w:val="009067C3"/>
    <w:rsid w:val="00911A93"/>
    <w:rsid w:val="00920E7D"/>
    <w:rsid w:val="009366B8"/>
    <w:rsid w:val="00937844"/>
    <w:rsid w:val="009467F1"/>
    <w:rsid w:val="00950ADB"/>
    <w:rsid w:val="00957B22"/>
    <w:rsid w:val="009636C2"/>
    <w:rsid w:val="00996259"/>
    <w:rsid w:val="0099759E"/>
    <w:rsid w:val="009A5C44"/>
    <w:rsid w:val="009E44D4"/>
    <w:rsid w:val="009F59F7"/>
    <w:rsid w:val="009F7119"/>
    <w:rsid w:val="00A01755"/>
    <w:rsid w:val="00A10950"/>
    <w:rsid w:val="00A44AD9"/>
    <w:rsid w:val="00A46A51"/>
    <w:rsid w:val="00A51833"/>
    <w:rsid w:val="00A52F24"/>
    <w:rsid w:val="00A87D32"/>
    <w:rsid w:val="00AA6CBE"/>
    <w:rsid w:val="00AB20C4"/>
    <w:rsid w:val="00AC17A3"/>
    <w:rsid w:val="00AC5754"/>
    <w:rsid w:val="00AD3BB1"/>
    <w:rsid w:val="00AD3FAF"/>
    <w:rsid w:val="00AD5997"/>
    <w:rsid w:val="00AE1C23"/>
    <w:rsid w:val="00B05B42"/>
    <w:rsid w:val="00B07E91"/>
    <w:rsid w:val="00B2311A"/>
    <w:rsid w:val="00B306A1"/>
    <w:rsid w:val="00B4389A"/>
    <w:rsid w:val="00B664FF"/>
    <w:rsid w:val="00B71747"/>
    <w:rsid w:val="00B779C2"/>
    <w:rsid w:val="00B9401F"/>
    <w:rsid w:val="00B95D5D"/>
    <w:rsid w:val="00BA0567"/>
    <w:rsid w:val="00BA0C8B"/>
    <w:rsid w:val="00BA5277"/>
    <w:rsid w:val="00BC1370"/>
    <w:rsid w:val="00BC268B"/>
    <w:rsid w:val="00BF495D"/>
    <w:rsid w:val="00C15349"/>
    <w:rsid w:val="00C23A89"/>
    <w:rsid w:val="00C251B7"/>
    <w:rsid w:val="00C3111D"/>
    <w:rsid w:val="00C314DA"/>
    <w:rsid w:val="00C56245"/>
    <w:rsid w:val="00C61BBC"/>
    <w:rsid w:val="00C727B6"/>
    <w:rsid w:val="00CA17A1"/>
    <w:rsid w:val="00CA1952"/>
    <w:rsid w:val="00CC750D"/>
    <w:rsid w:val="00CD15B0"/>
    <w:rsid w:val="00CF5C24"/>
    <w:rsid w:val="00D01099"/>
    <w:rsid w:val="00D21AD2"/>
    <w:rsid w:val="00D23AE3"/>
    <w:rsid w:val="00D3611B"/>
    <w:rsid w:val="00D90933"/>
    <w:rsid w:val="00DC046C"/>
    <w:rsid w:val="00DD3DB3"/>
    <w:rsid w:val="00DD7C9B"/>
    <w:rsid w:val="00DE0E91"/>
    <w:rsid w:val="00DE4410"/>
    <w:rsid w:val="00DF6F84"/>
    <w:rsid w:val="00E0643E"/>
    <w:rsid w:val="00E10978"/>
    <w:rsid w:val="00E4405C"/>
    <w:rsid w:val="00E4433C"/>
    <w:rsid w:val="00E51AB5"/>
    <w:rsid w:val="00E86700"/>
    <w:rsid w:val="00E93958"/>
    <w:rsid w:val="00ED2D47"/>
    <w:rsid w:val="00EE7F20"/>
    <w:rsid w:val="00F03F17"/>
    <w:rsid w:val="00F15CBB"/>
    <w:rsid w:val="00F20691"/>
    <w:rsid w:val="00F23DC3"/>
    <w:rsid w:val="00F30264"/>
    <w:rsid w:val="00F458C1"/>
    <w:rsid w:val="00F50B1D"/>
    <w:rsid w:val="00F721AA"/>
    <w:rsid w:val="00F87B62"/>
    <w:rsid w:val="00F9022E"/>
    <w:rsid w:val="00FB06C0"/>
    <w:rsid w:val="00FC5E49"/>
    <w:rsid w:val="7D951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196579042">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22234263">
      <w:bodyDiv w:val="1"/>
      <w:marLeft w:val="0"/>
      <w:marRight w:val="0"/>
      <w:marTop w:val="0"/>
      <w:marBottom w:val="0"/>
      <w:divBdr>
        <w:top w:val="none" w:sz="0" w:space="0" w:color="auto"/>
        <w:left w:val="none" w:sz="0" w:space="0" w:color="auto"/>
        <w:bottom w:val="none" w:sz="0" w:space="0" w:color="auto"/>
        <w:right w:val="none" w:sz="0" w:space="0" w:color="auto"/>
      </w:divBdr>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5</revision>
  <lastPrinted>2021-01-06T16:37:00.0000000Z</lastPrinted>
  <dcterms:created xsi:type="dcterms:W3CDTF">2021-07-14T23:57:00.0000000Z</dcterms:created>
  <dcterms:modified xsi:type="dcterms:W3CDTF">2023-01-12T19:42:37.3525393Z</dcterms:modified>
</coreProperties>
</file>