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8700A0" w14:paraId="3E2643B7" w14:textId="77777777" w:rsidTr="00D90933">
        <w:trPr>
          <w:trHeight w:val="579"/>
        </w:trPr>
        <w:tc>
          <w:tcPr>
            <w:tcW w:w="10299" w:type="dxa"/>
          </w:tcPr>
          <w:p w14:paraId="0201C78E" w14:textId="6C71A506" w:rsidR="0017186D" w:rsidRPr="0017186D" w:rsidRDefault="0017186D" w:rsidP="0017186D">
            <w:pPr>
              <w:rPr>
                <w:rFonts w:cs="Century Gothic Light"/>
                <w:color w:val="09223F"/>
              </w:rPr>
            </w:pPr>
            <w:r w:rsidRPr="0017186D">
              <w:rPr>
                <w:rFonts w:cs="Century Gothic Light"/>
                <w:color w:val="09223F"/>
              </w:rPr>
              <w:t xml:space="preserve">Cathy </w:t>
            </w:r>
            <w:r w:rsidR="00E73C78">
              <w:rPr>
                <w:rFonts w:cs="Century Gothic Light"/>
                <w:color w:val="09223F"/>
              </w:rPr>
              <w:t>practices in</w:t>
            </w:r>
            <w:r w:rsidRPr="0017186D">
              <w:rPr>
                <w:rFonts w:cs="Century Gothic Light"/>
                <w:color w:val="09223F"/>
              </w:rPr>
              <w:t xml:space="preserve"> the financial restructuring, bankruptcy and creditors' rights practice group. She has broad experience in every aspect of corporate workouts and bankruptcies, and also works with clients structuring complex transactions and purchasing distressed assets.</w:t>
            </w:r>
          </w:p>
          <w:p w14:paraId="19513774" w14:textId="77777777" w:rsidR="0017186D" w:rsidRPr="0017186D" w:rsidRDefault="0017186D" w:rsidP="0017186D">
            <w:pPr>
              <w:rPr>
                <w:rFonts w:cs="Century Gothic Light"/>
                <w:color w:val="09223F"/>
              </w:rPr>
            </w:pPr>
          </w:p>
          <w:p w14:paraId="39C10D41" w14:textId="5BC91EB4" w:rsidR="008700A0" w:rsidRPr="003779A7" w:rsidRDefault="0017186D" w:rsidP="0017186D">
            <w:pPr>
              <w:rPr>
                <w:rFonts w:cs="Century Gothic Light"/>
                <w:color w:val="09223F"/>
              </w:rPr>
            </w:pPr>
            <w:r w:rsidRPr="0017186D">
              <w:rPr>
                <w:rFonts w:cs="Century Gothic Light"/>
                <w:color w:val="09223F"/>
              </w:rPr>
              <w:t>Cathy has held a variety of leadership positions at state and national associations related to bankruptcy, commercial finance and corporate renewal.</w:t>
            </w:r>
          </w:p>
        </w:tc>
      </w:tr>
      <w:tr w:rsidR="008700A0" w14:paraId="7B190A89" w14:textId="77777777" w:rsidTr="00D90933">
        <w:trPr>
          <w:trHeight w:val="579"/>
        </w:trPr>
        <w:tc>
          <w:tcPr>
            <w:tcW w:w="10299" w:type="dxa"/>
          </w:tcPr>
          <w:p w14:paraId="5D0099CC"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p>
        </w:tc>
      </w:tr>
      <w:tr w:rsidR="008700A0" w14:paraId="42185E66" w14:textId="77777777" w:rsidTr="00D90933">
        <w:trPr>
          <w:trHeight w:val="357"/>
        </w:trPr>
        <w:tc>
          <w:tcPr>
            <w:tcW w:w="10299" w:type="dxa"/>
          </w:tcPr>
          <w:p w14:paraId="0AB62B66" w14:textId="77777777" w:rsidR="008700A0" w:rsidRPr="00996259" w:rsidRDefault="008700A0" w:rsidP="008700A0">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14:paraId="7FD7ECCF"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J.D., Arizona State University, Sandra Day O’Connor College of Law</w:t>
            </w:r>
          </w:p>
          <w:p w14:paraId="19A4AB00"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Bachelor of Music, with high distinction, University of Arizona</w:t>
            </w:r>
          </w:p>
          <w:p w14:paraId="5D40E4C2"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 xml:space="preserve">Managing Editor, </w:t>
            </w:r>
            <w:r w:rsidRPr="0017186D">
              <w:rPr>
                <w:rFonts w:ascii="Century Gothic Light" w:hAnsi="Century Gothic Light" w:cs="Century Gothic Light"/>
                <w:i/>
                <w:iCs/>
                <w:color w:val="09223F"/>
                <w:sz w:val="22"/>
                <w:szCs w:val="22"/>
              </w:rPr>
              <w:t>Arizona State University Law Journal,</w:t>
            </w:r>
            <w:r w:rsidRPr="0017186D">
              <w:rPr>
                <w:rFonts w:ascii="Century Gothic Light" w:hAnsi="Century Gothic Light" w:cs="Century Gothic Light"/>
                <w:color w:val="09223F"/>
                <w:sz w:val="22"/>
                <w:szCs w:val="22"/>
              </w:rPr>
              <w:t xml:space="preserve"> 1979</w:t>
            </w:r>
          </w:p>
          <w:p w14:paraId="3BF85D19" w14:textId="1D94C470" w:rsidR="00AB20C4" w:rsidRPr="00551687"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Judicial law clerk to the Honorable Sandra Day O'Connor at the Arizona Court of Appeals, 1979</w:t>
            </w:r>
          </w:p>
        </w:tc>
      </w:tr>
      <w:tr w:rsidR="00DE4410" w14:paraId="5AA1B251" w14:textId="77777777" w:rsidTr="00D90933">
        <w:trPr>
          <w:trHeight w:val="288"/>
        </w:trPr>
        <w:tc>
          <w:tcPr>
            <w:tcW w:w="10299" w:type="dxa"/>
          </w:tcPr>
          <w:p w14:paraId="57BF22AA" w14:textId="77777777" w:rsidR="00DE4410" w:rsidRPr="008F5DD7" w:rsidRDefault="00DE4410" w:rsidP="008700A0">
            <w:pPr>
              <w:pStyle w:val="BasicParagraph"/>
              <w:rPr>
                <w:rFonts w:ascii="Century Gothic Light" w:hAnsi="Century Gothic Light" w:cs="Century Gothic Light"/>
                <w:caps/>
                <w:color w:val="F5821F"/>
                <w:szCs w:val="28"/>
              </w:rPr>
            </w:pPr>
          </w:p>
        </w:tc>
      </w:tr>
      <w:tr w:rsidR="00996259" w14:paraId="26225FC7" w14:textId="77777777" w:rsidTr="00D90933">
        <w:trPr>
          <w:trHeight w:val="360"/>
        </w:trPr>
        <w:tc>
          <w:tcPr>
            <w:tcW w:w="10299" w:type="dxa"/>
          </w:tcPr>
          <w:p w14:paraId="3BEA527C"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37"/>
            </w:tblGrid>
            <w:tr w:rsidR="00000DAC" w14:paraId="2FD63DE2" w14:textId="77777777" w:rsidTr="008129B7">
              <w:trPr>
                <w:trHeight w:val="195"/>
              </w:trPr>
              <w:tc>
                <w:tcPr>
                  <w:tcW w:w="5036" w:type="dxa"/>
                </w:tcPr>
                <w:p w14:paraId="6AE25D9C" w14:textId="77777777" w:rsidR="007C3820" w:rsidRDefault="0017186D" w:rsidP="00C0681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Aviation, Aerospace and Autonomous Systems</w:t>
                  </w:r>
                </w:p>
                <w:p w14:paraId="7625761A" w14:textId="77777777" w:rsidR="0017186D" w:rsidRDefault="0017186D" w:rsidP="00C0681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Blockchain and Cryptocurrency</w:t>
                  </w:r>
                </w:p>
                <w:p w14:paraId="5F79BFCA" w14:textId="77777777" w:rsidR="0017186D" w:rsidRDefault="0017186D" w:rsidP="00C0681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14:paraId="6A22E23D" w14:textId="2D679D9B" w:rsidR="0017186D" w:rsidRPr="0013703F" w:rsidRDefault="0017186D" w:rsidP="00C0681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Real Estate Finance</w:t>
                  </w:r>
                </w:p>
              </w:tc>
              <w:tc>
                <w:tcPr>
                  <w:tcW w:w="5037" w:type="dxa"/>
                </w:tcPr>
                <w:p w14:paraId="2B1E9A10" w14:textId="77777777" w:rsidR="007C3820" w:rsidRDefault="0017186D" w:rsidP="00C0681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Contingency Litigation</w:t>
                  </w:r>
                </w:p>
                <w:p w14:paraId="251C68CB" w14:textId="77777777" w:rsidR="0017186D" w:rsidRDefault="0017186D" w:rsidP="00C0681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Financial Restructuring, Bankruptcy and Creditors’ Rights</w:t>
                  </w:r>
                </w:p>
                <w:p w14:paraId="3D1F1085" w14:textId="77777777" w:rsidR="0017186D" w:rsidRDefault="0017186D" w:rsidP="00C0681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14:paraId="22A85BCB" w14:textId="405C9B8D" w:rsidR="0017186D" w:rsidRPr="00442803" w:rsidRDefault="0017186D" w:rsidP="00C06811">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 Finance and Lending</w:t>
                  </w:r>
                </w:p>
              </w:tc>
            </w:tr>
          </w:tbl>
          <w:p w14:paraId="4910D759" w14:textId="77777777" w:rsidR="00996259" w:rsidRDefault="00996259" w:rsidP="008700A0">
            <w:pPr>
              <w:pStyle w:val="BasicParagraph"/>
              <w:rPr>
                <w:rFonts w:ascii="Century Gothic Light" w:hAnsi="Century Gothic Light" w:cs="Century Gothic Light"/>
                <w:caps/>
                <w:color w:val="F5821F"/>
                <w:sz w:val="32"/>
                <w:szCs w:val="32"/>
              </w:rPr>
            </w:pPr>
          </w:p>
        </w:tc>
      </w:tr>
      <w:tr w:rsidR="00E86700" w14:paraId="74B2DD5B" w14:textId="77777777" w:rsidTr="00D90933">
        <w:trPr>
          <w:trHeight w:val="288"/>
        </w:trPr>
        <w:tc>
          <w:tcPr>
            <w:tcW w:w="10299" w:type="dxa"/>
          </w:tcPr>
          <w:p w14:paraId="3514A962" w14:textId="77777777" w:rsidR="00E86700" w:rsidRPr="008F5DD7" w:rsidRDefault="00E86700" w:rsidP="00996259">
            <w:pPr>
              <w:pStyle w:val="BasicParagraph"/>
              <w:rPr>
                <w:rFonts w:ascii="Century Gothic Light" w:hAnsi="Century Gothic Light" w:cs="Century Gothic Light"/>
                <w:caps/>
                <w:color w:val="F5821F"/>
                <w:szCs w:val="28"/>
              </w:rPr>
            </w:pPr>
          </w:p>
        </w:tc>
      </w:tr>
      <w:tr w:rsidR="007C3820" w14:paraId="272B722E" w14:textId="77777777" w:rsidTr="00D90933">
        <w:trPr>
          <w:trHeight w:val="288"/>
        </w:trPr>
        <w:tc>
          <w:tcPr>
            <w:tcW w:w="10299" w:type="dxa"/>
          </w:tcPr>
          <w:p w14:paraId="3C843A47" w14:textId="24DF6A9A" w:rsidR="007C3820" w:rsidRPr="00996259" w:rsidRDefault="007C3820" w:rsidP="007C382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14:paraId="7E63AF29"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the Official Investors Committee in the bankruptcy of Mortgages Ltd., which managed the $900 million loan portfolio involving over 1700 investors. The Committee successfully confirmed its own Plan of Reorganization. The firm currently represents ML Manager that manages and liquidates the loan portfolio under the Plan.</w:t>
            </w:r>
          </w:p>
          <w:p w14:paraId="5143A451"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Textron Financial Corporation, the largest secured creditor, in the ILX Resorts bankruptcies and filed a Joint Plan of Reorganization with the Debtors.</w:t>
            </w:r>
          </w:p>
          <w:p w14:paraId="2B038AF9"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the City of Glendale, Arizona, the arena landlord concerning the management and lease of the arena, in the bankruptcy of the NHL Arizona Coyotes hockey team.</w:t>
            </w:r>
          </w:p>
          <w:p w14:paraId="41F73A3D"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the Unsecured Creditors Committee in an alleged Ponzi scheme bankruptcy case and successfully obtained a consensual Plan of Reorganization appointing a liquidating trustee after capturing several million dollars for the trust.</w:t>
            </w:r>
          </w:p>
          <w:p w14:paraId="44821073"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the Unsecured Creditors’ Committee in the Baptist Foundation of Arizona bankruptcy cases with liabilities of $650 million and over 13,000 creditors.</w:t>
            </w:r>
          </w:p>
          <w:p w14:paraId="4CBDE0E5"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lastRenderedPageBreak/>
              <w:t xml:space="preserve">Represented the lead prepetition and </w:t>
            </w:r>
            <w:proofErr w:type="spellStart"/>
            <w:r w:rsidRPr="0017186D">
              <w:rPr>
                <w:rFonts w:ascii="Century Gothic Light" w:hAnsi="Century Gothic Light" w:cs="Century Gothic Light"/>
                <w:color w:val="09223F"/>
                <w:sz w:val="22"/>
                <w:szCs w:val="22"/>
              </w:rPr>
              <w:t>postpetition</w:t>
            </w:r>
            <w:proofErr w:type="spellEnd"/>
            <w:r w:rsidRPr="0017186D">
              <w:rPr>
                <w:rFonts w:ascii="Century Gothic Light" w:hAnsi="Century Gothic Light" w:cs="Century Gothic Light"/>
                <w:color w:val="09223F"/>
                <w:sz w:val="22"/>
                <w:szCs w:val="22"/>
              </w:rPr>
              <w:t xml:space="preserve"> lender of $220 million in the MicroAge bankruptcy cases.</w:t>
            </w:r>
          </w:p>
          <w:p w14:paraId="2B699838"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 xml:space="preserve">Represented a major prepetition and </w:t>
            </w:r>
            <w:proofErr w:type="spellStart"/>
            <w:r w:rsidRPr="0017186D">
              <w:rPr>
                <w:rFonts w:ascii="Century Gothic Light" w:hAnsi="Century Gothic Light" w:cs="Century Gothic Light"/>
                <w:color w:val="09223F"/>
                <w:sz w:val="22"/>
                <w:szCs w:val="22"/>
              </w:rPr>
              <w:t>postpetition</w:t>
            </w:r>
            <w:proofErr w:type="spellEnd"/>
            <w:r w:rsidRPr="0017186D">
              <w:rPr>
                <w:rFonts w:ascii="Century Gothic Light" w:hAnsi="Century Gothic Light" w:cs="Century Gothic Light"/>
                <w:color w:val="09223F"/>
                <w:sz w:val="22"/>
                <w:szCs w:val="22"/>
              </w:rPr>
              <w:t xml:space="preserve"> construction and acquisition and development lender in the UDC Homes, Inc. bankruptcy.</w:t>
            </w:r>
          </w:p>
          <w:p w14:paraId="0D016CD2"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a major gasoline trade creditor and chair of the unofficial reclamation creditors' committee in the consolidated Circle K bankruptcies.</w:t>
            </w:r>
          </w:p>
          <w:p w14:paraId="0AB86AEA"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the indenture trustee of several public bond issuances in an airline bankruptcy.</w:t>
            </w:r>
          </w:p>
          <w:p w14:paraId="5FEA5671"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a major administrative and unsecured creditor in the consolidated National Convenience Stores bankruptcy.</w:t>
            </w:r>
          </w:p>
          <w:p w14:paraId="3C03192C"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 xml:space="preserve">Represented the prepetition and </w:t>
            </w:r>
            <w:proofErr w:type="spellStart"/>
            <w:r w:rsidRPr="0017186D">
              <w:rPr>
                <w:rFonts w:ascii="Century Gothic Light" w:hAnsi="Century Gothic Light" w:cs="Century Gothic Light"/>
                <w:color w:val="09223F"/>
                <w:sz w:val="22"/>
                <w:szCs w:val="22"/>
              </w:rPr>
              <w:t>postpetition</w:t>
            </w:r>
            <w:proofErr w:type="spellEnd"/>
            <w:r w:rsidRPr="0017186D">
              <w:rPr>
                <w:rFonts w:ascii="Century Gothic Light" w:hAnsi="Century Gothic Light" w:cs="Century Gothic Light"/>
                <w:color w:val="09223F"/>
                <w:sz w:val="22"/>
                <w:szCs w:val="22"/>
              </w:rPr>
              <w:t xml:space="preserve"> secured lender in the Foster Grant bankruptcy.</w:t>
            </w:r>
          </w:p>
          <w:p w14:paraId="5DE98AF1"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the indenture trustee of approximately $52 million of public bonds secured by a lien on 80,000 acres of land involving over 50 separate Sun Valley Parkway bankruptcies.</w:t>
            </w:r>
          </w:p>
          <w:p w14:paraId="63843736"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 xml:space="preserve">Represented a major prepetition and </w:t>
            </w:r>
            <w:proofErr w:type="spellStart"/>
            <w:r w:rsidRPr="0017186D">
              <w:rPr>
                <w:rFonts w:ascii="Century Gothic Light" w:hAnsi="Century Gothic Light" w:cs="Century Gothic Light"/>
                <w:color w:val="09223F"/>
                <w:sz w:val="22"/>
                <w:szCs w:val="22"/>
              </w:rPr>
              <w:t>postpetition</w:t>
            </w:r>
            <w:proofErr w:type="spellEnd"/>
            <w:r w:rsidRPr="0017186D">
              <w:rPr>
                <w:rFonts w:ascii="Century Gothic Light" w:hAnsi="Century Gothic Light" w:cs="Century Gothic Light"/>
                <w:color w:val="09223F"/>
                <w:sz w:val="22"/>
                <w:szCs w:val="22"/>
              </w:rPr>
              <w:t xml:space="preserve"> lender in the </w:t>
            </w:r>
            <w:proofErr w:type="spellStart"/>
            <w:r w:rsidRPr="0017186D">
              <w:rPr>
                <w:rFonts w:ascii="Century Gothic Light" w:hAnsi="Century Gothic Light" w:cs="Century Gothic Light"/>
                <w:color w:val="09223F"/>
                <w:sz w:val="22"/>
                <w:szCs w:val="22"/>
              </w:rPr>
              <w:t>Copperstate</w:t>
            </w:r>
            <w:proofErr w:type="spellEnd"/>
            <w:r w:rsidRPr="0017186D">
              <w:rPr>
                <w:rFonts w:ascii="Century Gothic Light" w:hAnsi="Century Gothic Light" w:cs="Century Gothic Light"/>
                <w:color w:val="09223F"/>
                <w:sz w:val="22"/>
                <w:szCs w:val="22"/>
              </w:rPr>
              <w:t xml:space="preserve"> Metals bankruptcy.</w:t>
            </w:r>
          </w:p>
          <w:p w14:paraId="6246EF87"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the major asset based lender in the Unitech Industries Inc. bankruptcy.</w:t>
            </w:r>
          </w:p>
          <w:p w14:paraId="565FF0DF"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a major petroleum marketer and distributor on environmental claims in various bankruptcies.</w:t>
            </w:r>
          </w:p>
          <w:p w14:paraId="39A88B41"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numerous secured lenders, landlords and unsecured creditors in manufacturing, retail and real estate bankruptcies.</w:t>
            </w:r>
          </w:p>
          <w:p w14:paraId="11F31A34"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the Chapter 11 Trustee in seven related health care bankruptcies, which operated several skilled care facilities, assisted living facilities, and independent facilities.</w:t>
            </w:r>
          </w:p>
          <w:p w14:paraId="3640EB59"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Tucson Electric Power Company, in an involuntary proceeding which was dismissed and in related state court litigation which was also dismissed.</w:t>
            </w:r>
          </w:p>
          <w:p w14:paraId="7391807B"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Famous Restaurants Inc. and its related entities which successfully confirmed a plan of reorganization.</w:t>
            </w:r>
          </w:p>
          <w:p w14:paraId="3151B8CE" w14:textId="2FFAF601" w:rsidR="007C3820"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Represented a debtor before the United States Supreme Court in a 1992 landmark case involving the exemption or exclusion of an ERISA qualified pension plan from the bankruptcy estate.</w:t>
            </w:r>
          </w:p>
        </w:tc>
      </w:tr>
      <w:tr w:rsidR="007C3820" w14:paraId="3F51B474" w14:textId="77777777" w:rsidTr="00D90933">
        <w:trPr>
          <w:trHeight w:val="288"/>
        </w:trPr>
        <w:tc>
          <w:tcPr>
            <w:tcW w:w="10299" w:type="dxa"/>
          </w:tcPr>
          <w:p w14:paraId="40F98435" w14:textId="77777777" w:rsidR="007C3820" w:rsidRPr="008F5DD7" w:rsidRDefault="007C3820" w:rsidP="00996259">
            <w:pPr>
              <w:pStyle w:val="BasicParagraph"/>
              <w:rPr>
                <w:rFonts w:ascii="Century Gothic Light" w:hAnsi="Century Gothic Light" w:cs="Century Gothic Light"/>
                <w:caps/>
                <w:color w:val="F5821F"/>
                <w:szCs w:val="28"/>
              </w:rPr>
            </w:pPr>
          </w:p>
        </w:tc>
      </w:tr>
      <w:tr w:rsidR="0017186D" w14:paraId="2729C104" w14:textId="77777777" w:rsidTr="00D90933">
        <w:trPr>
          <w:trHeight w:val="288"/>
        </w:trPr>
        <w:tc>
          <w:tcPr>
            <w:tcW w:w="10299" w:type="dxa"/>
          </w:tcPr>
          <w:p w14:paraId="528082E1" w14:textId="77777777" w:rsidR="0017186D" w:rsidRPr="008F5DD7" w:rsidRDefault="0017186D" w:rsidP="00996259">
            <w:pPr>
              <w:pStyle w:val="BasicParagraph"/>
              <w:rPr>
                <w:rFonts w:ascii="Century Gothic Light" w:hAnsi="Century Gothic Light" w:cs="Century Gothic Light"/>
                <w:caps/>
                <w:color w:val="F5821F"/>
                <w:szCs w:val="28"/>
              </w:rPr>
            </w:pPr>
          </w:p>
        </w:tc>
      </w:tr>
      <w:tr w:rsidR="0017186D" w14:paraId="4C0CBDCF" w14:textId="77777777" w:rsidTr="00D90933">
        <w:trPr>
          <w:trHeight w:val="288"/>
        </w:trPr>
        <w:tc>
          <w:tcPr>
            <w:tcW w:w="10299" w:type="dxa"/>
          </w:tcPr>
          <w:p w14:paraId="62D62315" w14:textId="77777777" w:rsidR="0017186D" w:rsidRPr="008F5DD7" w:rsidRDefault="0017186D" w:rsidP="00996259">
            <w:pPr>
              <w:pStyle w:val="BasicParagraph"/>
              <w:rPr>
                <w:rFonts w:ascii="Century Gothic Light" w:hAnsi="Century Gothic Light" w:cs="Century Gothic Light"/>
                <w:caps/>
                <w:color w:val="F5821F"/>
                <w:szCs w:val="28"/>
              </w:rPr>
            </w:pPr>
          </w:p>
        </w:tc>
      </w:tr>
      <w:tr w:rsidR="007C3820" w14:paraId="5CABD3DD" w14:textId="77777777" w:rsidTr="00D90933">
        <w:trPr>
          <w:trHeight w:val="288"/>
        </w:trPr>
        <w:tc>
          <w:tcPr>
            <w:tcW w:w="10299" w:type="dxa"/>
          </w:tcPr>
          <w:p w14:paraId="1C22E2B7" w14:textId="4E82C87B" w:rsidR="007C3820" w:rsidRPr="00996259" w:rsidRDefault="007C3820" w:rsidP="007C382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14:paraId="1E77232A" w14:textId="27AC2756" w:rsidR="000910D6" w:rsidRPr="000910D6" w:rsidRDefault="000910D6" w:rsidP="000910D6">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17186D">
              <w:rPr>
                <w:rFonts w:ascii="Century Gothic Light" w:hAnsi="Century Gothic Light" w:cs="Century Gothic Light"/>
                <w:color w:val="09223F"/>
                <w:sz w:val="22"/>
                <w:szCs w:val="22"/>
              </w:rPr>
              <w:t>Top 100 Lawyers</w:t>
            </w:r>
            <w:r w:rsidR="00C06811">
              <w:rPr>
                <w:rFonts w:ascii="Century Gothic Light" w:hAnsi="Century Gothic Light" w:cs="Century Gothic Light"/>
                <w:color w:val="09223F"/>
                <w:sz w:val="22"/>
                <w:szCs w:val="22"/>
              </w:rPr>
              <w:t xml:space="preserve"> in Arizona</w:t>
            </w:r>
            <w:r w:rsidRPr="0017186D">
              <w:rPr>
                <w:rFonts w:ascii="Century Gothic Light" w:hAnsi="Century Gothic Light" w:cs="Century Gothic Light"/>
                <w:color w:val="09223F"/>
                <w:sz w:val="22"/>
                <w:szCs w:val="22"/>
              </w:rPr>
              <w:t>,</w:t>
            </w:r>
            <w:r w:rsidRPr="0017186D">
              <w:rPr>
                <w:rFonts w:ascii="Century Gothic Light" w:hAnsi="Century Gothic Light" w:cs="Century Gothic Light"/>
                <w:i/>
                <w:iCs/>
                <w:color w:val="09223F"/>
                <w:sz w:val="22"/>
                <w:szCs w:val="22"/>
              </w:rPr>
              <w:t xml:space="preserve"> AZ B</w:t>
            </w:r>
            <w:r>
              <w:rPr>
                <w:rFonts w:ascii="Century Gothic Light" w:hAnsi="Century Gothic Light" w:cs="Century Gothic Light"/>
                <w:i/>
                <w:iCs/>
                <w:color w:val="09223F"/>
                <w:sz w:val="22"/>
                <w:szCs w:val="22"/>
              </w:rPr>
              <w:t>ig Media</w:t>
            </w:r>
            <w:r w:rsidRPr="0017186D">
              <w:rPr>
                <w:rFonts w:ascii="Century Gothic Light" w:hAnsi="Century Gothic Light" w:cs="Century Gothic Light"/>
                <w:i/>
                <w:iCs/>
                <w:color w:val="09223F"/>
                <w:sz w:val="22"/>
                <w:szCs w:val="22"/>
              </w:rPr>
              <w:t xml:space="preserve">, </w:t>
            </w:r>
            <w:r w:rsidRPr="0017186D">
              <w:rPr>
                <w:rFonts w:ascii="Century Gothic Light" w:hAnsi="Century Gothic Light" w:cs="Century Gothic Light"/>
                <w:color w:val="09223F"/>
                <w:sz w:val="22"/>
                <w:szCs w:val="22"/>
              </w:rPr>
              <w:t>20</w:t>
            </w:r>
            <w:r>
              <w:rPr>
                <w:rFonts w:ascii="Century Gothic Light" w:hAnsi="Century Gothic Light" w:cs="Century Gothic Light"/>
                <w:color w:val="09223F"/>
                <w:sz w:val="22"/>
                <w:szCs w:val="22"/>
              </w:rPr>
              <w:t>22</w:t>
            </w:r>
          </w:p>
          <w:p w14:paraId="662E1325" w14:textId="54C4D6F4" w:rsidR="002A7F5B" w:rsidRPr="0017186D" w:rsidRDefault="002A7F5B" w:rsidP="002A7F5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i/>
                <w:iCs/>
                <w:color w:val="09223F"/>
                <w:sz w:val="22"/>
                <w:szCs w:val="22"/>
              </w:rPr>
              <w:t>Southwest Super Lawyers</w:t>
            </w:r>
            <w:r w:rsidRPr="007C3820">
              <w:rPr>
                <w:rFonts w:ascii="Century Gothic Light" w:hAnsi="Century Gothic Light" w:cs="Century Gothic Light"/>
                <w:color w:val="09223F"/>
                <w:sz w:val="22"/>
                <w:szCs w:val="22"/>
                <w:vertAlign w:val="superscript"/>
              </w:rPr>
              <w:t>®</w:t>
            </w:r>
            <w:r w:rsidRPr="0017186D">
              <w:rPr>
                <w:rFonts w:ascii="Century Gothic Light" w:hAnsi="Century Gothic Light" w:cs="Century Gothic Light"/>
                <w:i/>
                <w:iCs/>
                <w:color w:val="09223F"/>
                <w:sz w:val="22"/>
                <w:szCs w:val="22"/>
              </w:rPr>
              <w:t xml:space="preserve">, </w:t>
            </w:r>
            <w:r w:rsidRPr="0017186D">
              <w:rPr>
                <w:rFonts w:ascii="Century Gothic Light" w:hAnsi="Century Gothic Light" w:cs="Century Gothic Light"/>
                <w:color w:val="09223F"/>
                <w:sz w:val="22"/>
                <w:szCs w:val="22"/>
              </w:rPr>
              <w:t>Top 25 Women in Arizona, 2017</w:t>
            </w:r>
            <w:r>
              <w:rPr>
                <w:rFonts w:ascii="Century Gothic Light" w:hAnsi="Century Gothic Light" w:cs="Century Gothic Light"/>
                <w:color w:val="09223F"/>
                <w:sz w:val="22"/>
                <w:szCs w:val="22"/>
              </w:rPr>
              <w:t>, 2021</w:t>
            </w:r>
          </w:p>
          <w:p w14:paraId="29EEA9DA" w14:textId="4696849D"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17186D">
              <w:rPr>
                <w:rFonts w:ascii="Century Gothic Light" w:hAnsi="Century Gothic Light" w:cs="Century Gothic Light"/>
                <w:i/>
                <w:iCs/>
                <w:color w:val="09223F"/>
                <w:sz w:val="22"/>
                <w:szCs w:val="22"/>
              </w:rPr>
              <w:t>Best Lawyers in America</w:t>
            </w:r>
            <w:r w:rsidRPr="007C3820">
              <w:rPr>
                <w:rFonts w:ascii="Century Gothic Light" w:hAnsi="Century Gothic Light" w:cs="Century Gothic Light"/>
                <w:color w:val="09223F"/>
                <w:sz w:val="22"/>
                <w:szCs w:val="22"/>
                <w:vertAlign w:val="superscript"/>
              </w:rPr>
              <w:t>®</w:t>
            </w:r>
            <w:r w:rsidRPr="0017186D">
              <w:rPr>
                <w:rFonts w:ascii="Century Gothic Light" w:hAnsi="Century Gothic Light" w:cs="Century Gothic Light"/>
                <w:i/>
                <w:iCs/>
                <w:color w:val="09223F"/>
                <w:sz w:val="22"/>
                <w:szCs w:val="22"/>
              </w:rPr>
              <w:t xml:space="preserve">, </w:t>
            </w:r>
            <w:r w:rsidRPr="0017186D">
              <w:rPr>
                <w:rFonts w:ascii="Century Gothic Light" w:hAnsi="Century Gothic Light" w:cs="Century Gothic Light"/>
                <w:color w:val="09223F"/>
                <w:sz w:val="22"/>
                <w:szCs w:val="22"/>
              </w:rPr>
              <w:t>Bankruptcy and Creditor Debtor Rights/Insolvency and Reorganization Law, 20</w:t>
            </w:r>
            <w:r w:rsidR="00225C11">
              <w:rPr>
                <w:rFonts w:ascii="Century Gothic Light" w:hAnsi="Century Gothic Light" w:cs="Century Gothic Light"/>
                <w:color w:val="09223F"/>
                <w:sz w:val="22"/>
                <w:szCs w:val="22"/>
              </w:rPr>
              <w:t>09-202</w:t>
            </w:r>
            <w:r w:rsidR="00123178">
              <w:rPr>
                <w:rFonts w:ascii="Century Gothic Light" w:hAnsi="Century Gothic Light" w:cs="Century Gothic Light"/>
                <w:color w:val="09223F"/>
                <w:sz w:val="22"/>
                <w:szCs w:val="22"/>
              </w:rPr>
              <w:t>1</w:t>
            </w:r>
          </w:p>
          <w:p w14:paraId="43F6E0BE"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17186D">
              <w:rPr>
                <w:rFonts w:ascii="Century Gothic Light" w:hAnsi="Century Gothic Light" w:cs="Century Gothic Light"/>
                <w:color w:val="09223F"/>
                <w:sz w:val="22"/>
                <w:szCs w:val="22"/>
              </w:rPr>
              <w:t>Top 100 Lawyers,</w:t>
            </w:r>
            <w:r w:rsidRPr="0017186D">
              <w:rPr>
                <w:rFonts w:ascii="Century Gothic Light" w:hAnsi="Century Gothic Light" w:cs="Century Gothic Light"/>
                <w:i/>
                <w:iCs/>
                <w:color w:val="09223F"/>
                <w:sz w:val="22"/>
                <w:szCs w:val="22"/>
              </w:rPr>
              <w:t xml:space="preserve"> AZ Business Magazine, </w:t>
            </w:r>
            <w:r w:rsidRPr="0017186D">
              <w:rPr>
                <w:rFonts w:ascii="Century Gothic Light" w:hAnsi="Century Gothic Light" w:cs="Century Gothic Light"/>
                <w:color w:val="09223F"/>
                <w:sz w:val="22"/>
                <w:szCs w:val="22"/>
              </w:rPr>
              <w:t>2016-2018</w:t>
            </w:r>
          </w:p>
          <w:p w14:paraId="5D16A87F" w14:textId="2E967CC9"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i/>
                <w:iCs/>
                <w:color w:val="09223F"/>
                <w:sz w:val="22"/>
                <w:szCs w:val="22"/>
              </w:rPr>
              <w:t>Southwest Super Lawyers</w:t>
            </w:r>
            <w:r w:rsidRPr="007C3820">
              <w:rPr>
                <w:rFonts w:ascii="Century Gothic Light" w:hAnsi="Century Gothic Light" w:cs="Century Gothic Light"/>
                <w:color w:val="09223F"/>
                <w:sz w:val="22"/>
                <w:szCs w:val="22"/>
                <w:vertAlign w:val="superscript"/>
              </w:rPr>
              <w:t>®</w:t>
            </w:r>
            <w:r w:rsidRPr="0017186D">
              <w:rPr>
                <w:rFonts w:ascii="Century Gothic Light" w:hAnsi="Century Gothic Light" w:cs="Century Gothic Light"/>
                <w:i/>
                <w:iCs/>
                <w:color w:val="09223F"/>
                <w:sz w:val="22"/>
                <w:szCs w:val="22"/>
              </w:rPr>
              <w:t xml:space="preserve">, </w:t>
            </w:r>
            <w:r w:rsidRPr="0017186D">
              <w:rPr>
                <w:rFonts w:ascii="Century Gothic Light" w:hAnsi="Century Gothic Light" w:cs="Century Gothic Light"/>
                <w:color w:val="09223F"/>
                <w:sz w:val="22"/>
                <w:szCs w:val="22"/>
              </w:rPr>
              <w:t>Top 50 Arizona, 2015-2016</w:t>
            </w:r>
          </w:p>
          <w:p w14:paraId="494AFCB5"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Recipient, Legal Advisor of the Year, M&amp;A Advisor, 2014</w:t>
            </w:r>
          </w:p>
          <w:p w14:paraId="5CCD8D29"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Arizona's Best Lawyers, Bankruptcy and Creditor Debtor Rights/Insolvency and Reorganization Law</w:t>
            </w:r>
          </w:p>
          <w:p w14:paraId="54AD3CD4"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17186D">
              <w:rPr>
                <w:rFonts w:ascii="Century Gothic Light" w:hAnsi="Century Gothic Light" w:cs="Century Gothic Light"/>
                <w:i/>
                <w:iCs/>
                <w:color w:val="09223F"/>
                <w:sz w:val="22"/>
                <w:szCs w:val="22"/>
              </w:rPr>
              <w:t xml:space="preserve">Benchmark Litigation, </w:t>
            </w:r>
            <w:r w:rsidRPr="0017186D">
              <w:rPr>
                <w:rFonts w:ascii="Century Gothic Light" w:hAnsi="Century Gothic Light" w:cs="Century Gothic Light"/>
                <w:color w:val="09223F"/>
                <w:sz w:val="22"/>
                <w:szCs w:val="22"/>
              </w:rPr>
              <w:t>Local Litigation Star</w:t>
            </w:r>
          </w:p>
          <w:p w14:paraId="1503702D"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17186D">
              <w:rPr>
                <w:rFonts w:ascii="Century Gothic Light" w:hAnsi="Century Gothic Light" w:cs="Century Gothic Light"/>
                <w:i/>
                <w:iCs/>
                <w:color w:val="09223F"/>
                <w:sz w:val="22"/>
                <w:szCs w:val="22"/>
              </w:rPr>
              <w:t xml:space="preserve">Benchmark Litigation, </w:t>
            </w:r>
            <w:r w:rsidRPr="0017186D">
              <w:rPr>
                <w:rFonts w:ascii="Century Gothic Light" w:hAnsi="Century Gothic Light" w:cs="Century Gothic Light"/>
                <w:color w:val="09223F"/>
                <w:sz w:val="22"/>
                <w:szCs w:val="22"/>
              </w:rPr>
              <w:t>Top 250 Women in Litigation</w:t>
            </w:r>
          </w:p>
          <w:p w14:paraId="3FF33C0C" w14:textId="0798D3C9"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17186D">
              <w:rPr>
                <w:rFonts w:ascii="Century Gothic Light" w:hAnsi="Century Gothic Light" w:cs="Century Gothic Light"/>
                <w:i/>
                <w:iCs/>
                <w:color w:val="09223F"/>
                <w:sz w:val="22"/>
                <w:szCs w:val="22"/>
              </w:rPr>
              <w:t>Best Lawyers in America</w:t>
            </w:r>
            <w:r w:rsidRPr="007C3820">
              <w:rPr>
                <w:rFonts w:ascii="Century Gothic Light" w:hAnsi="Century Gothic Light" w:cs="Century Gothic Light"/>
                <w:color w:val="09223F"/>
                <w:sz w:val="22"/>
                <w:szCs w:val="22"/>
                <w:vertAlign w:val="superscript"/>
              </w:rPr>
              <w:t>®</w:t>
            </w:r>
            <w:r w:rsidRPr="0017186D">
              <w:rPr>
                <w:rFonts w:ascii="Century Gothic Light" w:hAnsi="Century Gothic Light" w:cs="Century Gothic Light"/>
                <w:i/>
                <w:iCs/>
                <w:color w:val="09223F"/>
                <w:sz w:val="22"/>
                <w:szCs w:val="22"/>
              </w:rPr>
              <w:t xml:space="preserve">, </w:t>
            </w:r>
            <w:r w:rsidRPr="0017186D">
              <w:rPr>
                <w:rFonts w:ascii="Century Gothic Light" w:hAnsi="Century Gothic Light" w:cs="Century Gothic Light"/>
                <w:color w:val="09223F"/>
                <w:sz w:val="22"/>
                <w:szCs w:val="22"/>
              </w:rPr>
              <w:t>Litigation - Bankruptcy</w:t>
            </w:r>
          </w:p>
          <w:p w14:paraId="7153800F" w14:textId="0C9BEEF1"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17186D">
              <w:rPr>
                <w:rFonts w:ascii="Century Gothic Light" w:hAnsi="Century Gothic Light" w:cs="Century Gothic Light"/>
                <w:i/>
                <w:iCs/>
                <w:color w:val="09223F"/>
                <w:sz w:val="22"/>
                <w:szCs w:val="22"/>
              </w:rPr>
              <w:t>Southwest Super Lawyers</w:t>
            </w:r>
            <w:r w:rsidRPr="007C3820">
              <w:rPr>
                <w:rFonts w:ascii="Century Gothic Light" w:hAnsi="Century Gothic Light" w:cs="Century Gothic Light"/>
                <w:color w:val="09223F"/>
                <w:sz w:val="22"/>
                <w:szCs w:val="22"/>
                <w:vertAlign w:val="superscript"/>
              </w:rPr>
              <w:t>®</w:t>
            </w:r>
            <w:r w:rsidRPr="0017186D">
              <w:rPr>
                <w:rFonts w:ascii="Century Gothic Light" w:hAnsi="Century Gothic Light" w:cs="Century Gothic Light"/>
                <w:i/>
                <w:iCs/>
                <w:color w:val="09223F"/>
                <w:sz w:val="22"/>
                <w:szCs w:val="22"/>
              </w:rPr>
              <w:t xml:space="preserve">, </w:t>
            </w:r>
            <w:r w:rsidRPr="0017186D">
              <w:rPr>
                <w:rFonts w:ascii="Century Gothic Light" w:hAnsi="Century Gothic Light" w:cs="Century Gothic Light"/>
                <w:color w:val="09223F"/>
                <w:sz w:val="22"/>
                <w:szCs w:val="22"/>
              </w:rPr>
              <w:t>Bankruptcy &amp; Creditor/Debtor Rights</w:t>
            </w:r>
          </w:p>
          <w:p w14:paraId="243823FB"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Fellow, American College of Commercial Finance Lawyers</w:t>
            </w:r>
          </w:p>
          <w:p w14:paraId="06BEB17E" w14:textId="4F9863C4" w:rsidR="007C3820" w:rsidRPr="007C3820" w:rsidRDefault="007C3820"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AV</w:t>
            </w:r>
            <w:r w:rsidRPr="007C3820">
              <w:rPr>
                <w:rFonts w:ascii="Century Gothic Light" w:hAnsi="Century Gothic Light" w:cs="Century Gothic Light"/>
                <w:color w:val="09223F"/>
                <w:sz w:val="22"/>
                <w:szCs w:val="22"/>
                <w:vertAlign w:val="superscript"/>
              </w:rPr>
              <w:t>®</w:t>
            </w:r>
            <w:r w:rsidRPr="007C3820">
              <w:rPr>
                <w:rFonts w:ascii="Century Gothic Light" w:hAnsi="Century Gothic Light" w:cs="Century Gothic Light"/>
                <w:color w:val="09223F"/>
                <w:sz w:val="22"/>
                <w:szCs w:val="22"/>
              </w:rPr>
              <w:t xml:space="preserve"> Preeminent™ Peer Review Rated (the highest rating available), by Martindale-Hubbell</w:t>
            </w:r>
          </w:p>
        </w:tc>
      </w:tr>
      <w:tr w:rsidR="007C3820" w14:paraId="6FCE7FEB" w14:textId="77777777" w:rsidTr="00D90933">
        <w:trPr>
          <w:trHeight w:val="288"/>
        </w:trPr>
        <w:tc>
          <w:tcPr>
            <w:tcW w:w="10299" w:type="dxa"/>
          </w:tcPr>
          <w:p w14:paraId="57C3061E" w14:textId="77777777" w:rsidR="007C3820" w:rsidRPr="008F5DD7" w:rsidRDefault="007C3820" w:rsidP="00996259">
            <w:pPr>
              <w:pStyle w:val="BasicParagraph"/>
              <w:rPr>
                <w:rFonts w:ascii="Century Gothic Light" w:hAnsi="Century Gothic Light" w:cs="Century Gothic Light"/>
                <w:caps/>
                <w:color w:val="F5821F"/>
                <w:szCs w:val="28"/>
              </w:rPr>
            </w:pPr>
          </w:p>
        </w:tc>
      </w:tr>
      <w:tr w:rsidR="007C3820" w14:paraId="5F66C4E6" w14:textId="77777777" w:rsidTr="00D90933">
        <w:trPr>
          <w:trHeight w:val="288"/>
        </w:trPr>
        <w:tc>
          <w:tcPr>
            <w:tcW w:w="10299" w:type="dxa"/>
          </w:tcPr>
          <w:p w14:paraId="33AC2A4E" w14:textId="28748981" w:rsidR="007C3820" w:rsidRPr="00996259" w:rsidRDefault="007C3820" w:rsidP="007C382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14:paraId="218F4BC7" w14:textId="77777777" w:rsidR="000D2C45" w:rsidRPr="000D2C45" w:rsidRDefault="000D2C45" w:rsidP="000D2C4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D2C45">
              <w:rPr>
                <w:rFonts w:ascii="Century Gothic Light" w:hAnsi="Century Gothic Light" w:cs="Century Gothic Light"/>
                <w:color w:val="09223F"/>
                <w:sz w:val="22"/>
                <w:szCs w:val="22"/>
              </w:rPr>
              <w:t>Presenter, “Maximizing Deals through Third-Party Litigation Financing," M&amp;A Advisor, November 18, 2020</w:t>
            </w:r>
          </w:p>
          <w:p w14:paraId="2F5FC44C" w14:textId="77777777" w:rsidR="000E3E24" w:rsidRPr="000E3E24" w:rsidRDefault="000E3E24" w:rsidP="000E3E2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E3E24">
              <w:rPr>
                <w:rFonts w:ascii="Century Gothic Light" w:hAnsi="Century Gothic Light" w:cs="Century Gothic Light"/>
                <w:color w:val="09223F"/>
                <w:sz w:val="22"/>
                <w:szCs w:val="22"/>
              </w:rPr>
              <w:t>Quoted, "Road to Recovery: A Look Sector by Sector,"</w:t>
            </w:r>
            <w:r w:rsidRPr="000E3E24">
              <w:rPr>
                <w:rFonts w:ascii="Century Gothic Light" w:hAnsi="Century Gothic Light" w:cs="Century Gothic Light"/>
                <w:i/>
                <w:iCs/>
                <w:color w:val="09223F"/>
                <w:sz w:val="22"/>
                <w:szCs w:val="22"/>
              </w:rPr>
              <w:t> </w:t>
            </w:r>
            <w:proofErr w:type="spellStart"/>
            <w:r w:rsidRPr="000E3E24">
              <w:rPr>
                <w:rFonts w:ascii="Century Gothic Light" w:hAnsi="Century Gothic Light" w:cs="Century Gothic Light"/>
                <w:i/>
                <w:iCs/>
                <w:color w:val="09223F"/>
                <w:sz w:val="22"/>
                <w:szCs w:val="22"/>
              </w:rPr>
              <w:t>InBusiness</w:t>
            </w:r>
            <w:proofErr w:type="spellEnd"/>
            <w:r w:rsidRPr="000E3E24">
              <w:rPr>
                <w:rFonts w:ascii="Century Gothic Light" w:hAnsi="Century Gothic Light" w:cs="Century Gothic Light"/>
                <w:color w:val="09223F"/>
                <w:sz w:val="22"/>
                <w:szCs w:val="22"/>
              </w:rPr>
              <w:t>, August 2020</w:t>
            </w:r>
          </w:p>
          <w:p w14:paraId="69D7B71D"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 xml:space="preserve">Author, "Bankruptcy in a Distressed Post-COVID-19 World," </w:t>
            </w:r>
            <w:proofErr w:type="spellStart"/>
            <w:r w:rsidRPr="0017186D">
              <w:rPr>
                <w:rFonts w:ascii="Century Gothic Light" w:hAnsi="Century Gothic Light" w:cs="Century Gothic Light"/>
                <w:i/>
                <w:iCs/>
                <w:color w:val="09223F"/>
                <w:sz w:val="22"/>
                <w:szCs w:val="22"/>
              </w:rPr>
              <w:t>InBusiness</w:t>
            </w:r>
            <w:proofErr w:type="spellEnd"/>
            <w:r w:rsidRPr="0017186D">
              <w:rPr>
                <w:rFonts w:ascii="Century Gothic Light" w:hAnsi="Century Gothic Light" w:cs="Century Gothic Light"/>
                <w:i/>
                <w:iCs/>
                <w:color w:val="09223F"/>
                <w:sz w:val="22"/>
                <w:szCs w:val="22"/>
              </w:rPr>
              <w:t>,</w:t>
            </w:r>
            <w:r w:rsidRPr="0017186D">
              <w:rPr>
                <w:rFonts w:ascii="Century Gothic Light" w:hAnsi="Century Gothic Light" w:cs="Century Gothic Light"/>
                <w:color w:val="09223F"/>
                <w:sz w:val="22"/>
                <w:szCs w:val="22"/>
              </w:rPr>
              <w:t xml:space="preserve"> August 2020</w:t>
            </w:r>
          </w:p>
          <w:p w14:paraId="1398C9B3"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lastRenderedPageBreak/>
              <w:t>Speaker, "Corporate Governance During Financial Distress," Women in the Boardroom, March 24, 2020</w:t>
            </w:r>
          </w:p>
          <w:p w14:paraId="677E9CA9"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Speaker, "Real Estate in Bankruptcy," Modern Real Estate Transactions, ALI CLE, February 6, 2020</w:t>
            </w:r>
          </w:p>
          <w:p w14:paraId="7F4CE7EA"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Speaker, "Third-Party Litigation Funding in Bankruptcy Cases: Recent Trends and Key Issues," Strafford Publications, September 24, 2019</w:t>
            </w:r>
          </w:p>
          <w:p w14:paraId="446A0B1F"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 xml:space="preserve">Quoted, "Tate's Auto Group Toppled by Financial, Legal Troubles," </w:t>
            </w:r>
            <w:r w:rsidRPr="0017186D">
              <w:rPr>
                <w:rFonts w:ascii="Century Gothic Light" w:hAnsi="Century Gothic Light" w:cs="Century Gothic Light"/>
                <w:i/>
                <w:iCs/>
                <w:color w:val="09223F"/>
                <w:sz w:val="22"/>
                <w:szCs w:val="22"/>
              </w:rPr>
              <w:t xml:space="preserve">Automotive News, </w:t>
            </w:r>
            <w:r w:rsidRPr="0017186D">
              <w:rPr>
                <w:rFonts w:ascii="Century Gothic Light" w:hAnsi="Century Gothic Light" w:cs="Century Gothic Light"/>
                <w:color w:val="09223F"/>
                <w:sz w:val="22"/>
                <w:szCs w:val="22"/>
              </w:rPr>
              <w:t>May 6, 2019</w:t>
            </w:r>
          </w:p>
          <w:p w14:paraId="33397BB4"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 xml:space="preserve">Author, "The Changing Landscape of Commercial Real Estate: Repurposing Spaces in Retail, Shopping Centers, Healthcare and Golf Courses," </w:t>
            </w:r>
            <w:r w:rsidRPr="0017186D">
              <w:rPr>
                <w:rFonts w:ascii="Century Gothic Light" w:hAnsi="Century Gothic Light" w:cs="Century Gothic Light"/>
                <w:i/>
                <w:iCs/>
                <w:color w:val="09223F"/>
                <w:sz w:val="22"/>
                <w:szCs w:val="22"/>
              </w:rPr>
              <w:t>Business Law Today</w:t>
            </w:r>
            <w:r w:rsidRPr="0017186D">
              <w:rPr>
                <w:rFonts w:ascii="Century Gothic Light" w:hAnsi="Century Gothic Light" w:cs="Century Gothic Light"/>
                <w:color w:val="09223F"/>
                <w:sz w:val="22"/>
                <w:szCs w:val="22"/>
              </w:rPr>
              <w:t>, December 18, 2018</w:t>
            </w:r>
          </w:p>
          <w:p w14:paraId="3F4B8142"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 xml:space="preserve">Interview, "Litigation Finance Experts Discuss Recent Industry Growth," </w:t>
            </w:r>
            <w:proofErr w:type="spellStart"/>
            <w:r w:rsidRPr="0017186D">
              <w:rPr>
                <w:rFonts w:ascii="Century Gothic Light" w:hAnsi="Century Gothic Light" w:cs="Century Gothic Light"/>
                <w:color w:val="09223F"/>
                <w:sz w:val="22"/>
                <w:szCs w:val="22"/>
              </w:rPr>
              <w:t>Debwire</w:t>
            </w:r>
            <w:proofErr w:type="spellEnd"/>
            <w:r w:rsidRPr="0017186D">
              <w:rPr>
                <w:rFonts w:ascii="Century Gothic Light" w:hAnsi="Century Gothic Light" w:cs="Century Gothic Light"/>
                <w:color w:val="09223F"/>
                <w:sz w:val="22"/>
                <w:szCs w:val="22"/>
              </w:rPr>
              <w:t>, October 2018</w:t>
            </w:r>
          </w:p>
          <w:p w14:paraId="4EAA84C9"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Speaker, "The Changing Landscape of Commercial Real Estate—Retail, Shopping Centers, Healthcare and Golf Courses—Repurposing the Space," ABA Business Law Section Annual Meeting, September 13, 2018</w:t>
            </w:r>
          </w:p>
          <w:p w14:paraId="7EB4FB9E"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Speaker, "Post-Confirmation Liquidating and Litigation Trusts," 26th Annual Southwest Bankruptcy Conference, September 7, 2018</w:t>
            </w:r>
          </w:p>
          <w:p w14:paraId="0025CC1F"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Speaker, "Liquidating Trusts in Bankruptcy: A Review of Current Issues," The Knowledge Group, July 12, 2018</w:t>
            </w:r>
          </w:p>
          <w:p w14:paraId="45146E25"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Moderator, "2017 TMA Small Company Turnaround Award Winner: Vermont Aerospace Once Again Takes Flight," ABF Journal, April 2018</w:t>
            </w:r>
          </w:p>
          <w:p w14:paraId="3BD253B7"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Speaker, "Third Party Financing of Litigation--Structure, Documentation And Outlook for 2018," American Bar Association Business Law Spring Meeting, April 2018</w:t>
            </w:r>
          </w:p>
          <w:p w14:paraId="0EE26648"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Author, "Mayday! Mayday! Mayday! Saving the Vermont Aerospace Company," TMA, April 2018</w:t>
            </w:r>
          </w:p>
          <w:p w14:paraId="1E7A809F"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Speaker, “Faster, Higher Returns: With Ponzi Schemes, All That Glitters Is Not Gold," 2018 Distressed Investing Summit, March 21, 2018</w:t>
            </w:r>
          </w:p>
          <w:p w14:paraId="5CA50A88"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Speaker, "Litigation Trusts in Business Bankruptcies," The Knowledge Group, March 5, 2018</w:t>
            </w:r>
          </w:p>
          <w:p w14:paraId="4291FB24"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 xml:space="preserve">Speaker, "Post-Confirmation Liquidation and Litigation Trusts in Business </w:t>
            </w:r>
            <w:proofErr w:type="spellStart"/>
            <w:r w:rsidRPr="0017186D">
              <w:rPr>
                <w:rFonts w:ascii="Century Gothic Light" w:hAnsi="Century Gothic Light" w:cs="Century Gothic Light"/>
                <w:color w:val="09223F"/>
                <w:sz w:val="22"/>
                <w:szCs w:val="22"/>
              </w:rPr>
              <w:t>Bankruptices</w:t>
            </w:r>
            <w:proofErr w:type="spellEnd"/>
            <w:r w:rsidRPr="0017186D">
              <w:rPr>
                <w:rFonts w:ascii="Century Gothic Light" w:hAnsi="Century Gothic Light" w:cs="Century Gothic Light"/>
                <w:color w:val="09223F"/>
                <w:sz w:val="22"/>
                <w:szCs w:val="22"/>
              </w:rPr>
              <w:t>: What Lies Ahead in 2018," March 2, 2018</w:t>
            </w:r>
          </w:p>
          <w:p w14:paraId="755C77F4"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Quoted, "Greenberg Traurig's $9.8M Malpractice Suit Settlement OK'd," Law360, October 10, 2017</w:t>
            </w:r>
          </w:p>
          <w:p w14:paraId="6DE4037D" w14:textId="7772D0B6" w:rsidR="007C3820"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Speaker, "Secured Financing Issues Concerning DIP Financing, Cash Collateral and Exit Financing," American Bar Association Business Law Section Spring Meeting, April 8, 2016</w:t>
            </w:r>
          </w:p>
        </w:tc>
      </w:tr>
      <w:tr w:rsidR="007C3820" w14:paraId="1F93AB90" w14:textId="77777777" w:rsidTr="00D90933">
        <w:trPr>
          <w:trHeight w:val="288"/>
        </w:trPr>
        <w:tc>
          <w:tcPr>
            <w:tcW w:w="10299" w:type="dxa"/>
          </w:tcPr>
          <w:p w14:paraId="06DB2128" w14:textId="77777777" w:rsidR="007C3820" w:rsidRPr="008F5DD7" w:rsidRDefault="007C3820" w:rsidP="00996259">
            <w:pPr>
              <w:pStyle w:val="BasicParagraph"/>
              <w:rPr>
                <w:rFonts w:ascii="Century Gothic Light" w:hAnsi="Century Gothic Light" w:cs="Century Gothic Light"/>
                <w:caps/>
                <w:color w:val="F5821F"/>
                <w:szCs w:val="28"/>
              </w:rPr>
            </w:pPr>
          </w:p>
        </w:tc>
      </w:tr>
      <w:tr w:rsidR="00706534" w14:paraId="05B11199" w14:textId="77777777" w:rsidTr="00D90933">
        <w:trPr>
          <w:trHeight w:val="288"/>
        </w:trPr>
        <w:tc>
          <w:tcPr>
            <w:tcW w:w="10299" w:type="dxa"/>
          </w:tcPr>
          <w:p w14:paraId="06C289E6" w14:textId="70534FF0" w:rsidR="00706534" w:rsidRPr="00996259" w:rsidRDefault="00706534" w:rsidP="0070653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14:paraId="6E1EC6A5"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Member, State Bar of Arizona</w:t>
            </w:r>
          </w:p>
          <w:p w14:paraId="2DB7A2E6"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Member, Federal Bar Association</w:t>
            </w:r>
          </w:p>
          <w:p w14:paraId="78F12E3D"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Member, Board of Regents, American College of Commercial Finance Lawyers</w:t>
            </w:r>
          </w:p>
          <w:p w14:paraId="5787CE73"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Member, Board of Trustees and Former Vice-President of Communications, Vice President of Conferences, and Vice President of Membership, International Turnaround Management Association</w:t>
            </w:r>
          </w:p>
          <w:p w14:paraId="1007E806"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Member, American Bankruptcy Institute</w:t>
            </w:r>
          </w:p>
          <w:p w14:paraId="1A5CE448"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Member, The American Law Institute, which drafts and sponsors the Restatements of the Law and the Uniform Commercial Code</w:t>
            </w:r>
          </w:p>
          <w:p w14:paraId="78AE572C"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Treasurer, American College of Commercial Finance Lawyers</w:t>
            </w:r>
          </w:p>
          <w:p w14:paraId="53533BF4"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Immediate Past Chair, Loan Workout Subcommittee, American Bar Association, Business Law Section</w:t>
            </w:r>
          </w:p>
          <w:p w14:paraId="3B2FDAFB"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Past President, Arizona Chapter, Turnaround Management Association</w:t>
            </w:r>
          </w:p>
          <w:p w14:paraId="35F092C5"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Past Chair, Bankruptcy Section, State Bar of Arizona</w:t>
            </w:r>
          </w:p>
          <w:p w14:paraId="693B6342"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Past Chair, Local Bankruptcy Rules Committee, State Bar of Arizona</w:t>
            </w:r>
          </w:p>
          <w:p w14:paraId="58A32436" w14:textId="265BD70F" w:rsidR="00706534" w:rsidRPr="00706534"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Former Lawyer Delegate to the Ninth Circuit Judicial Conference</w:t>
            </w:r>
          </w:p>
        </w:tc>
      </w:tr>
      <w:tr w:rsidR="00706534" w14:paraId="509F7FCF" w14:textId="77777777" w:rsidTr="00D90933">
        <w:trPr>
          <w:trHeight w:val="288"/>
        </w:trPr>
        <w:tc>
          <w:tcPr>
            <w:tcW w:w="10299" w:type="dxa"/>
          </w:tcPr>
          <w:p w14:paraId="22B33907" w14:textId="77777777" w:rsidR="00706534" w:rsidRPr="008F5DD7" w:rsidRDefault="00706534" w:rsidP="00996259">
            <w:pPr>
              <w:pStyle w:val="BasicParagraph"/>
              <w:rPr>
                <w:rFonts w:ascii="Century Gothic Light" w:hAnsi="Century Gothic Light" w:cs="Century Gothic Light"/>
                <w:caps/>
                <w:color w:val="F5821F"/>
                <w:szCs w:val="28"/>
              </w:rPr>
            </w:pPr>
          </w:p>
        </w:tc>
      </w:tr>
      <w:tr w:rsidR="00996259" w14:paraId="37A27DBA" w14:textId="77777777" w:rsidTr="00D90933">
        <w:trPr>
          <w:trHeight w:val="195"/>
        </w:trPr>
        <w:tc>
          <w:tcPr>
            <w:tcW w:w="10299" w:type="dxa"/>
          </w:tcPr>
          <w:p w14:paraId="0239EEB1"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14:paraId="72A2E2A1"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Arizona</w:t>
            </w:r>
          </w:p>
          <w:p w14:paraId="6DDD39CA" w14:textId="77777777" w:rsidR="0017186D" w:rsidRPr="0017186D"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U.S. Supreme Court</w:t>
            </w:r>
          </w:p>
          <w:p w14:paraId="044073AE" w14:textId="5AFEEB99" w:rsidR="00AD3FAF" w:rsidRPr="004409F8" w:rsidRDefault="0017186D" w:rsidP="0017186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7186D">
              <w:rPr>
                <w:rFonts w:ascii="Century Gothic Light" w:hAnsi="Century Gothic Light" w:cs="Century Gothic Light"/>
                <w:color w:val="09223F"/>
                <w:sz w:val="22"/>
                <w:szCs w:val="22"/>
              </w:rPr>
              <w:t>Board Certified, Business Bankruptcy Law, American Board of Certification</w:t>
            </w:r>
          </w:p>
        </w:tc>
      </w:tr>
    </w:tbl>
    <w:p w14:paraId="6FBE2627" w14:textId="77777777" w:rsidR="008700A0" w:rsidRDefault="008700A0" w:rsidP="00124890"/>
    <w:sectPr w:rsidR="008700A0" w:rsidSect="00FB06C0">
      <w:headerReference w:type="default" r:id="rId7"/>
      <w:headerReference w:type="first" r:id="rId8"/>
      <w:pgSz w:w="12240" w:h="15840"/>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499CA" w14:textId="77777777" w:rsidR="003648FC" w:rsidRDefault="003648FC" w:rsidP="008700A0">
      <w:pPr>
        <w:spacing w:after="0" w:line="240" w:lineRule="auto"/>
      </w:pPr>
      <w:r>
        <w:separator/>
      </w:r>
    </w:p>
  </w:endnote>
  <w:endnote w:type="continuationSeparator" w:id="0">
    <w:p w14:paraId="254FA692" w14:textId="77777777" w:rsidR="003648FC" w:rsidRDefault="003648FC" w:rsidP="008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5BEA0" w14:textId="77777777" w:rsidR="003648FC" w:rsidRDefault="003648FC" w:rsidP="008700A0">
      <w:pPr>
        <w:spacing w:after="0" w:line="240" w:lineRule="auto"/>
      </w:pPr>
      <w:r>
        <w:separator/>
      </w:r>
    </w:p>
  </w:footnote>
  <w:footnote w:type="continuationSeparator" w:id="0">
    <w:p w14:paraId="6EDC7AA3" w14:textId="77777777" w:rsidR="003648FC" w:rsidRDefault="003648FC" w:rsidP="0087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9623" w14:textId="77777777" w:rsidR="008700A0" w:rsidRDefault="008700A0">
    <w:pPr>
      <w:pStyle w:val="Header"/>
    </w:pPr>
    <w:r>
      <w:rPr>
        <w:noProof/>
      </w:rPr>
      <w:drawing>
        <wp:anchor distT="0" distB="0" distL="114300" distR="114300" simplePos="0" relativeHeight="251659264" behindDoc="1" locked="0" layoutInCell="1" allowOverlap="1" wp14:anchorId="575A1DE1" wp14:editId="46C3D242">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34CC" w14:textId="77777777" w:rsidR="008700A0" w:rsidRDefault="008700A0">
    <w:pPr>
      <w:pStyle w:val="Header"/>
    </w:pPr>
    <w:r>
      <w:rPr>
        <w:noProof/>
      </w:rPr>
      <w:drawing>
        <wp:anchor distT="0" distB="0" distL="114300" distR="114300" simplePos="0" relativeHeight="251658240" behindDoc="1" locked="0" layoutInCell="1" allowOverlap="1" wp14:anchorId="26867CE0" wp14:editId="1D48A3C4">
          <wp:simplePos x="0" y="0"/>
          <wp:positionH relativeFrom="margin">
            <wp:posOffset>-457200</wp:posOffset>
          </wp:positionH>
          <wp:positionV relativeFrom="margin">
            <wp:posOffset>-467360</wp:posOffset>
          </wp:positionV>
          <wp:extent cx="7772356" cy="10058343"/>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6" cy="10058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06B20"/>
    <w:multiLevelType w:val="multilevel"/>
    <w:tmpl w:val="0D34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87FDD"/>
    <w:multiLevelType w:val="multilevel"/>
    <w:tmpl w:val="0676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10C05"/>
    <w:multiLevelType w:val="multilevel"/>
    <w:tmpl w:val="94AC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6B1AA6"/>
    <w:multiLevelType w:val="multilevel"/>
    <w:tmpl w:val="0D6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1243B"/>
    <w:multiLevelType w:val="multilevel"/>
    <w:tmpl w:val="436C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BD33B3"/>
    <w:multiLevelType w:val="multilevel"/>
    <w:tmpl w:val="54F8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C0FEB"/>
    <w:multiLevelType w:val="multilevel"/>
    <w:tmpl w:val="A0EE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721BE"/>
    <w:multiLevelType w:val="multilevel"/>
    <w:tmpl w:val="3A2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C3957"/>
    <w:multiLevelType w:val="multilevel"/>
    <w:tmpl w:val="03E0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0D63C0"/>
    <w:multiLevelType w:val="hybridMultilevel"/>
    <w:tmpl w:val="F15271C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539D0598"/>
    <w:multiLevelType w:val="multilevel"/>
    <w:tmpl w:val="B482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B900A3"/>
    <w:multiLevelType w:val="multilevel"/>
    <w:tmpl w:val="1E0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792F5D"/>
    <w:multiLevelType w:val="multilevel"/>
    <w:tmpl w:val="A4B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437553"/>
    <w:multiLevelType w:val="multilevel"/>
    <w:tmpl w:val="7220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D47CE0"/>
    <w:multiLevelType w:val="multilevel"/>
    <w:tmpl w:val="D7D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E30A76"/>
    <w:multiLevelType w:val="multilevel"/>
    <w:tmpl w:val="FE44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AE4FFE"/>
    <w:multiLevelType w:val="hybridMultilevel"/>
    <w:tmpl w:val="2FAA1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5B75DF"/>
    <w:multiLevelType w:val="multilevel"/>
    <w:tmpl w:val="9900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134E01"/>
    <w:multiLevelType w:val="multilevel"/>
    <w:tmpl w:val="9CC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DB6F45"/>
    <w:multiLevelType w:val="multilevel"/>
    <w:tmpl w:val="03C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7"/>
  </w:num>
  <w:num w:numId="3">
    <w:abstractNumId w:val="19"/>
  </w:num>
  <w:num w:numId="4">
    <w:abstractNumId w:val="5"/>
  </w:num>
  <w:num w:numId="5">
    <w:abstractNumId w:val="6"/>
  </w:num>
  <w:num w:numId="6">
    <w:abstractNumId w:val="23"/>
  </w:num>
  <w:num w:numId="7">
    <w:abstractNumId w:val="22"/>
  </w:num>
  <w:num w:numId="8">
    <w:abstractNumId w:val="18"/>
  </w:num>
  <w:num w:numId="9">
    <w:abstractNumId w:val="9"/>
  </w:num>
  <w:num w:numId="10">
    <w:abstractNumId w:val="14"/>
  </w:num>
  <w:num w:numId="11">
    <w:abstractNumId w:val="24"/>
  </w:num>
  <w:num w:numId="12">
    <w:abstractNumId w:val="10"/>
  </w:num>
  <w:num w:numId="13">
    <w:abstractNumId w:val="3"/>
  </w:num>
  <w:num w:numId="14">
    <w:abstractNumId w:val="28"/>
  </w:num>
  <w:num w:numId="15">
    <w:abstractNumId w:val="29"/>
  </w:num>
  <w:num w:numId="16">
    <w:abstractNumId w:val="16"/>
  </w:num>
  <w:num w:numId="17">
    <w:abstractNumId w:val="17"/>
  </w:num>
  <w:num w:numId="18">
    <w:abstractNumId w:val="2"/>
  </w:num>
  <w:num w:numId="19">
    <w:abstractNumId w:val="21"/>
  </w:num>
  <w:num w:numId="20">
    <w:abstractNumId w:val="26"/>
  </w:num>
  <w:num w:numId="21">
    <w:abstractNumId w:val="11"/>
  </w:num>
  <w:num w:numId="22">
    <w:abstractNumId w:val="30"/>
  </w:num>
  <w:num w:numId="23">
    <w:abstractNumId w:val="12"/>
  </w:num>
  <w:num w:numId="24">
    <w:abstractNumId w:val="20"/>
  </w:num>
  <w:num w:numId="25">
    <w:abstractNumId w:val="8"/>
  </w:num>
  <w:num w:numId="26">
    <w:abstractNumId w:val="13"/>
  </w:num>
  <w:num w:numId="27">
    <w:abstractNumId w:val="4"/>
  </w:num>
  <w:num w:numId="28">
    <w:abstractNumId w:val="0"/>
  </w:num>
  <w:num w:numId="29">
    <w:abstractNumId w:val="15"/>
  </w:num>
  <w:num w:numId="30">
    <w:abstractNumId w:val="1"/>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53A2B"/>
    <w:rsid w:val="0005599F"/>
    <w:rsid w:val="000665FD"/>
    <w:rsid w:val="000910D6"/>
    <w:rsid w:val="00092C86"/>
    <w:rsid w:val="000B29E6"/>
    <w:rsid w:val="000D2207"/>
    <w:rsid w:val="000D2C45"/>
    <w:rsid w:val="000E3E24"/>
    <w:rsid w:val="000E3ECF"/>
    <w:rsid w:val="000F6FAD"/>
    <w:rsid w:val="00100BB9"/>
    <w:rsid w:val="001138EA"/>
    <w:rsid w:val="00123178"/>
    <w:rsid w:val="00124890"/>
    <w:rsid w:val="0013703F"/>
    <w:rsid w:val="0016204E"/>
    <w:rsid w:val="0017186D"/>
    <w:rsid w:val="0019269A"/>
    <w:rsid w:val="00197DFC"/>
    <w:rsid w:val="001C6685"/>
    <w:rsid w:val="001F1000"/>
    <w:rsid w:val="00216E51"/>
    <w:rsid w:val="00217188"/>
    <w:rsid w:val="0021738A"/>
    <w:rsid w:val="00225C11"/>
    <w:rsid w:val="00253B2D"/>
    <w:rsid w:val="002548B5"/>
    <w:rsid w:val="00266E0F"/>
    <w:rsid w:val="00290ABD"/>
    <w:rsid w:val="00290F41"/>
    <w:rsid w:val="00295769"/>
    <w:rsid w:val="002A2E90"/>
    <w:rsid w:val="002A7F5B"/>
    <w:rsid w:val="002D5A17"/>
    <w:rsid w:val="00312CFC"/>
    <w:rsid w:val="003203C6"/>
    <w:rsid w:val="0032458F"/>
    <w:rsid w:val="00324613"/>
    <w:rsid w:val="00325FC1"/>
    <w:rsid w:val="00332C98"/>
    <w:rsid w:val="00333AD5"/>
    <w:rsid w:val="00340AE6"/>
    <w:rsid w:val="00345563"/>
    <w:rsid w:val="00355B95"/>
    <w:rsid w:val="003648FC"/>
    <w:rsid w:val="00371E4C"/>
    <w:rsid w:val="003779A7"/>
    <w:rsid w:val="00377FE6"/>
    <w:rsid w:val="00383C77"/>
    <w:rsid w:val="0039208F"/>
    <w:rsid w:val="003D6259"/>
    <w:rsid w:val="00403067"/>
    <w:rsid w:val="00405313"/>
    <w:rsid w:val="004409F8"/>
    <w:rsid w:val="00442803"/>
    <w:rsid w:val="004533D0"/>
    <w:rsid w:val="004B0B42"/>
    <w:rsid w:val="004B0FA7"/>
    <w:rsid w:val="00515DE9"/>
    <w:rsid w:val="005177D8"/>
    <w:rsid w:val="00517E18"/>
    <w:rsid w:val="005430CB"/>
    <w:rsid w:val="005501CE"/>
    <w:rsid w:val="00551687"/>
    <w:rsid w:val="00566492"/>
    <w:rsid w:val="005777E4"/>
    <w:rsid w:val="00587218"/>
    <w:rsid w:val="00590A25"/>
    <w:rsid w:val="005A05EE"/>
    <w:rsid w:val="005A0F4F"/>
    <w:rsid w:val="005B4C1E"/>
    <w:rsid w:val="005D3709"/>
    <w:rsid w:val="005F080B"/>
    <w:rsid w:val="00617B93"/>
    <w:rsid w:val="00644C31"/>
    <w:rsid w:val="00655093"/>
    <w:rsid w:val="006B14E5"/>
    <w:rsid w:val="006C3477"/>
    <w:rsid w:val="00706534"/>
    <w:rsid w:val="00712D7B"/>
    <w:rsid w:val="00733A23"/>
    <w:rsid w:val="0076317B"/>
    <w:rsid w:val="00772ABB"/>
    <w:rsid w:val="00772C3A"/>
    <w:rsid w:val="00772D57"/>
    <w:rsid w:val="00795E7E"/>
    <w:rsid w:val="007A6909"/>
    <w:rsid w:val="007C3820"/>
    <w:rsid w:val="007C384C"/>
    <w:rsid w:val="007D2922"/>
    <w:rsid w:val="007F5739"/>
    <w:rsid w:val="00800AB4"/>
    <w:rsid w:val="008124A3"/>
    <w:rsid w:val="00841578"/>
    <w:rsid w:val="0086010D"/>
    <w:rsid w:val="00863372"/>
    <w:rsid w:val="008700A0"/>
    <w:rsid w:val="00881F96"/>
    <w:rsid w:val="00886858"/>
    <w:rsid w:val="008A29E8"/>
    <w:rsid w:val="008A6430"/>
    <w:rsid w:val="008B0E1C"/>
    <w:rsid w:val="008D168A"/>
    <w:rsid w:val="008D5FA8"/>
    <w:rsid w:val="008D6B2D"/>
    <w:rsid w:val="008E06BB"/>
    <w:rsid w:val="008E6056"/>
    <w:rsid w:val="008F5DD7"/>
    <w:rsid w:val="009067C3"/>
    <w:rsid w:val="00911A93"/>
    <w:rsid w:val="00920E7D"/>
    <w:rsid w:val="009366B8"/>
    <w:rsid w:val="00937844"/>
    <w:rsid w:val="009467F1"/>
    <w:rsid w:val="00950ADB"/>
    <w:rsid w:val="00996259"/>
    <w:rsid w:val="0099759E"/>
    <w:rsid w:val="009A5C44"/>
    <w:rsid w:val="009E44D4"/>
    <w:rsid w:val="009F145C"/>
    <w:rsid w:val="009F59F7"/>
    <w:rsid w:val="009F7119"/>
    <w:rsid w:val="00A01755"/>
    <w:rsid w:val="00A10950"/>
    <w:rsid w:val="00A44AD9"/>
    <w:rsid w:val="00A44DC1"/>
    <w:rsid w:val="00A46A51"/>
    <w:rsid w:val="00A51833"/>
    <w:rsid w:val="00A52F24"/>
    <w:rsid w:val="00A80D53"/>
    <w:rsid w:val="00A87D32"/>
    <w:rsid w:val="00AA6CBE"/>
    <w:rsid w:val="00AB20C4"/>
    <w:rsid w:val="00AC17A3"/>
    <w:rsid w:val="00AC5754"/>
    <w:rsid w:val="00AD3BB1"/>
    <w:rsid w:val="00AD3FAF"/>
    <w:rsid w:val="00AE1C23"/>
    <w:rsid w:val="00B2311A"/>
    <w:rsid w:val="00B306A1"/>
    <w:rsid w:val="00B4389A"/>
    <w:rsid w:val="00B664FF"/>
    <w:rsid w:val="00B71747"/>
    <w:rsid w:val="00B779C2"/>
    <w:rsid w:val="00B9401F"/>
    <w:rsid w:val="00B95D5D"/>
    <w:rsid w:val="00BA0567"/>
    <w:rsid w:val="00BA0C8B"/>
    <w:rsid w:val="00BA5277"/>
    <w:rsid w:val="00BC1370"/>
    <w:rsid w:val="00BC268B"/>
    <w:rsid w:val="00BF495D"/>
    <w:rsid w:val="00C06811"/>
    <w:rsid w:val="00C15349"/>
    <w:rsid w:val="00C23A89"/>
    <w:rsid w:val="00C251B7"/>
    <w:rsid w:val="00C3111D"/>
    <w:rsid w:val="00C314DA"/>
    <w:rsid w:val="00C56245"/>
    <w:rsid w:val="00C61BBC"/>
    <w:rsid w:val="00C727B6"/>
    <w:rsid w:val="00CA17A1"/>
    <w:rsid w:val="00CA1952"/>
    <w:rsid w:val="00CC750D"/>
    <w:rsid w:val="00CD15B0"/>
    <w:rsid w:val="00CF5C24"/>
    <w:rsid w:val="00D01099"/>
    <w:rsid w:val="00D124E4"/>
    <w:rsid w:val="00D21AD2"/>
    <w:rsid w:val="00D23AE3"/>
    <w:rsid w:val="00D3611B"/>
    <w:rsid w:val="00D87A85"/>
    <w:rsid w:val="00D90933"/>
    <w:rsid w:val="00DC046C"/>
    <w:rsid w:val="00DC7365"/>
    <w:rsid w:val="00DD3DB3"/>
    <w:rsid w:val="00DD7C9B"/>
    <w:rsid w:val="00DE0E91"/>
    <w:rsid w:val="00DE4410"/>
    <w:rsid w:val="00E0643E"/>
    <w:rsid w:val="00E10978"/>
    <w:rsid w:val="00E4405C"/>
    <w:rsid w:val="00E4433C"/>
    <w:rsid w:val="00E51AB5"/>
    <w:rsid w:val="00E73C78"/>
    <w:rsid w:val="00E86700"/>
    <w:rsid w:val="00E93958"/>
    <w:rsid w:val="00ED2D47"/>
    <w:rsid w:val="00EE7F20"/>
    <w:rsid w:val="00F03F17"/>
    <w:rsid w:val="00F20691"/>
    <w:rsid w:val="00F23DC3"/>
    <w:rsid w:val="00F30264"/>
    <w:rsid w:val="00F50B1D"/>
    <w:rsid w:val="00F721AA"/>
    <w:rsid w:val="00F87B62"/>
    <w:rsid w:val="00FB06C0"/>
    <w:rsid w:val="00FC5E49"/>
    <w:rsid w:val="00FE4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eastAsiaTheme="minorHAnsi" w:hAnsi="Century Gothic Light"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customStyle="1" w:styleId="Heading1Char">
    <w:name w:val="Heading 1 Char"/>
    <w:basedOn w:val="DefaultParagraphFont"/>
    <w:link w:val="Heading1"/>
    <w:uiPriority w:val="9"/>
    <w:rsid w:val="005501CE"/>
    <w:rPr>
      <w:rFonts w:ascii="Century Gothic Light" w:eastAsiaTheme="majorEastAsia" w:hAnsi="Century Gothic Light"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37786658">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33250394">
      <w:bodyDiv w:val="1"/>
      <w:marLeft w:val="0"/>
      <w:marRight w:val="0"/>
      <w:marTop w:val="0"/>
      <w:marBottom w:val="0"/>
      <w:divBdr>
        <w:top w:val="none" w:sz="0" w:space="0" w:color="auto"/>
        <w:left w:val="none" w:sz="0" w:space="0" w:color="auto"/>
        <w:bottom w:val="none" w:sz="0" w:space="0" w:color="auto"/>
        <w:right w:val="none" w:sz="0" w:space="0" w:color="auto"/>
      </w:divBdr>
    </w:div>
    <w:div w:id="953171206">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36637911">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1241</Words>
  <Characters>7077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ESME</dc:creator>
  <cp:keywords/>
  <dc:description/>
  <cp:lastModifiedBy>Bates, Finessa</cp:lastModifiedBy>
  <cp:revision>14</cp:revision>
  <cp:lastPrinted>2021-01-06T16:36:00Z</cp:lastPrinted>
  <dcterms:created xsi:type="dcterms:W3CDTF">2020-08-12T22:00:00Z</dcterms:created>
  <dcterms:modified xsi:type="dcterms:W3CDTF">2022-01-21T13:14:00Z</dcterms:modified>
</cp:coreProperties>
</file>