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F5284D7" w14:paraId="3E2643B7" w14:textId="77777777">
        <w:trPr>
          <w:trHeight w:val="579"/>
        </w:trPr>
        <w:tc>
          <w:tcPr>
            <w:tcW w:w="10299" w:type="dxa"/>
            <w:tcMar/>
          </w:tcPr>
          <w:p w:rsidRPr="006F783D" w:rsidR="006F783D" w:rsidP="006F783D" w:rsidRDefault="006F783D" w14:paraId="008D2259" w14:textId="77777777">
            <w:pPr>
              <w:rPr>
                <w:rFonts w:cs="Century Gothic Light"/>
                <w:color w:val="09223F"/>
              </w:rPr>
            </w:pPr>
            <w:r w:rsidRPr="006F783D">
              <w:rPr>
                <w:rFonts w:cs="Century Gothic Light"/>
                <w:color w:val="09223F"/>
              </w:rPr>
              <w:t>Michael is an experienced litigator and complex case manager.  Over the past decade, Michael has litigated a broad range of cases in state and federal courts across the country primarily in the areas of commercial, fiduciary, and real estate litigation.  Michael’s clients span from family businesses to Fortune 500 companies and the Denver Broncos Football Club.  Regardless of the gravity of the matter before him, Michael provides efficient representation to his clients from the outset of litigation through trial or appeal.</w:t>
            </w:r>
          </w:p>
          <w:p w:rsidRPr="006F783D" w:rsidR="006F783D" w:rsidP="006F783D" w:rsidRDefault="006F783D" w14:paraId="416B5246" w14:textId="77777777">
            <w:pPr>
              <w:rPr>
                <w:rFonts w:cs="Century Gothic Light"/>
                <w:color w:val="09223F"/>
              </w:rPr>
            </w:pPr>
          </w:p>
          <w:p w:rsidRPr="006F783D" w:rsidR="006F783D" w:rsidP="006F783D" w:rsidRDefault="006F783D" w14:paraId="4D402C22" w14:textId="77777777">
            <w:pPr>
              <w:rPr>
                <w:rFonts w:cs="Century Gothic Light"/>
                <w:color w:val="09223F"/>
              </w:rPr>
            </w:pPr>
            <w:r w:rsidRPr="006F783D">
              <w:rPr>
                <w:rFonts w:cs="Century Gothic Light"/>
                <w:color w:val="09223F"/>
              </w:rPr>
              <w:t>Prior to attending law school, Michael worked as an accountant for a Fortune 500 company. He utilizes his accounting background while working closely with his corporate clients and case experts on highly-technical matters involving corporate finance, accounting, and tax law issues.</w:t>
            </w:r>
          </w:p>
          <w:p w:rsidRPr="006F783D" w:rsidR="006F783D" w:rsidP="006F783D" w:rsidRDefault="006F783D" w14:paraId="31E9FE74" w14:textId="77777777">
            <w:pPr>
              <w:rPr>
                <w:rFonts w:cs="Century Gothic Light"/>
                <w:color w:val="09223F"/>
              </w:rPr>
            </w:pPr>
          </w:p>
          <w:p w:rsidRPr="006F783D" w:rsidR="006F783D" w:rsidP="006F783D" w:rsidRDefault="006F783D" w14:paraId="78D36368" w14:textId="77777777">
            <w:pPr>
              <w:rPr>
                <w:rFonts w:cs="Century Gothic Light"/>
                <w:color w:val="09223F"/>
              </w:rPr>
            </w:pPr>
            <w:r w:rsidRPr="006F783D">
              <w:rPr>
                <w:rFonts w:cs="Century Gothic Light"/>
                <w:color w:val="09223F"/>
              </w:rPr>
              <w:t>Michael has been recognized as a “Rising Star” by Colorado Super Lawyers Magazine every year since 2016. Michael is also active in alumni organizations for the universities he attended and was appointed to the University of Miami School of Law Young Alumni Committee in 2015. Michael earned his law degree from the University of Miami School of Law in Coral Gables, Florida, where he focused his studies in the area of tax law.</w:t>
            </w:r>
          </w:p>
          <w:p w:rsidRPr="006F783D" w:rsidR="006F783D" w:rsidP="006F783D" w:rsidRDefault="006F783D" w14:paraId="6099809E" w14:textId="77777777">
            <w:pPr>
              <w:rPr>
                <w:rFonts w:cs="Century Gothic Light"/>
                <w:color w:val="09223F"/>
              </w:rPr>
            </w:pPr>
          </w:p>
          <w:p w:rsidR="00257BC1" w:rsidP="006F783D" w:rsidRDefault="006F783D" w14:paraId="39C10D41" w14:textId="7BE826B4">
            <w:r w:rsidRPr="006F783D">
              <w:rPr>
                <w:rFonts w:cs="Century Gothic Light"/>
                <w:color w:val="09223F"/>
              </w:rPr>
              <w:t>When not working, Michael can be found spending time with his wife and three children, cheering for his beloved LSU Tigers, or on the golf course</w:t>
            </w:r>
          </w:p>
        </w:tc>
      </w:tr>
      <w:tr w:rsidR="008700A0" w:rsidTr="3F5284D7" w14:paraId="42185E66" w14:textId="77777777">
        <w:trPr>
          <w:trHeight w:val="357"/>
        </w:trPr>
        <w:tc>
          <w:tcPr>
            <w:tcW w:w="10299" w:type="dxa"/>
            <w:tcMar/>
          </w:tcPr>
          <w:p w:rsidR="00491129" w:rsidP="008700A0" w:rsidRDefault="00491129" w14:paraId="2F6EC872" w14:textId="77777777">
            <w:pPr>
              <w:pStyle w:val="BasicParagraph"/>
              <w:rPr>
                <w:rFonts w:ascii="Century Gothic Light" w:hAnsi="Century Gothic Light" w:cs="Century Gothic Light"/>
                <w:caps/>
                <w:color w:val="F5821F"/>
                <w:sz w:val="28"/>
                <w:szCs w:val="32"/>
              </w:rPr>
            </w:pPr>
          </w:p>
          <w:p w:rsidRPr="00996259" w:rsidR="008700A0" w:rsidP="008700A0" w:rsidRDefault="008700A0" w14:paraId="0AB62B66" w14:textId="5024D0E5">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6F783D" w:rsidR="006F783D" w:rsidP="006F783D" w:rsidRDefault="006F783D" w14:paraId="5C811B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t>J.D., University of Miami School of Law</w:t>
            </w:r>
          </w:p>
          <w:p w:rsidRPr="00257BC1" w:rsidR="00AB20C4" w:rsidP="006F783D" w:rsidRDefault="006F783D" w14:paraId="3BF85D19" w14:textId="5FFCE2E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t>B.A., Louisiana State University</w:t>
            </w:r>
          </w:p>
        </w:tc>
      </w:tr>
      <w:tr w:rsidR="00DE4410" w:rsidTr="3F5284D7"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F5284D7"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3F5284D7" w14:paraId="2FD63DE2" w14:textId="77777777">
              <w:trPr>
                <w:trHeight w:val="870"/>
              </w:trPr>
              <w:tc>
                <w:tcPr>
                  <w:tcW w:w="5036" w:type="dxa"/>
                  <w:tcMar/>
                </w:tcPr>
                <w:p w:rsidRPr="006F783D" w:rsidR="006F783D" w:rsidP="3F5284D7" w:rsidRDefault="00257BC1" w14:paraId="5179412A" w14:textId="77777777" w14:noSpellErr="1">
                  <w:pPr>
                    <w:pStyle w:val="BasicParagraph"/>
                    <w:framePr w:hSpace="180" w:wrap="around" w:hAnchor="margin" w:vAnchor="text" w:xAlign="right" w:y="3856"/>
                    <w:numPr>
                      <w:ilvl w:val="0"/>
                      <w:numId w:val="1"/>
                    </w:numPr>
                    <w:suppressAutoHyphens/>
                    <w:spacing w:line="240" w:lineRule="auto"/>
                    <w:ind w:left="615"/>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Business Litigation</w:t>
                  </w:r>
                  <w:r w:rsidRPr="3F5284D7" w:rsidR="3F5284D7">
                    <w:rPr>
                      <w:rFonts w:ascii="Century Gothic" w:hAnsi="Century Gothic" w:eastAsia="Century Gothic" w:cs="Century Gothic"/>
                      <w:color w:val="09223F"/>
                      <w:sz w:val="20"/>
                      <w:szCs w:val="20"/>
                    </w:rPr>
                    <w:t xml:space="preserve"> </w:t>
                  </w:r>
                </w:p>
                <w:p w:rsidRPr="006F783D" w:rsidR="006F783D" w:rsidP="3F5284D7" w:rsidRDefault="006F783D" w14:paraId="2D2250FD" w14:textId="77777777" w14:noSpellErr="1">
                  <w:pPr>
                    <w:pStyle w:val="BasicParagraph"/>
                    <w:framePr w:hSpace="180" w:wrap="around" w:hAnchor="margin" w:vAnchor="text" w:xAlign="right" w:y="3856"/>
                    <w:numPr>
                      <w:ilvl w:val="0"/>
                      <w:numId w:val="1"/>
                    </w:numPr>
                    <w:suppressAutoHyphens/>
                    <w:spacing w:line="240" w:lineRule="auto"/>
                    <w:ind w:left="615"/>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Estate Litigation</w:t>
                  </w:r>
                </w:p>
                <w:p w:rsidRPr="0005599F" w:rsidR="0005599F" w:rsidP="3F5284D7" w:rsidRDefault="006F783D" w14:paraId="53698C71" w14:textId="1C02A937" w14:noSpellErr="1">
                  <w:pPr>
                    <w:pStyle w:val="BasicParagraph"/>
                    <w:framePr w:hSpace="180" w:wrap="around" w:hAnchor="margin" w:vAnchor="text" w:xAlign="right" w:y="3856"/>
                    <w:numPr>
                      <w:ilvl w:val="0"/>
                      <w:numId w:val="1"/>
                    </w:numPr>
                    <w:suppressAutoHyphens/>
                    <w:spacing w:line="240" w:lineRule="auto"/>
                    <w:ind w:left="615"/>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Professional Malpractice</w:t>
                  </w:r>
                </w:p>
              </w:tc>
              <w:tc>
                <w:tcPr>
                  <w:tcW w:w="5037" w:type="dxa"/>
                  <w:tcMar/>
                </w:tcPr>
                <w:p w:rsidR="006F783D" w:rsidP="3F5284D7" w:rsidRDefault="006F783D" w14:paraId="77D59DB7" w14:textId="25463A46" w14:noSpellErr="1">
                  <w:pPr>
                    <w:pStyle w:val="ListParagraph"/>
                    <w:framePr w:hSpace="180" w:wrap="around" w:hAnchor="margin" w:vAnchor="text" w:xAlign="right" w:y="3856"/>
                    <w:numPr>
                      <w:ilvl w:val="0"/>
                      <w:numId w:val="1"/>
                    </w:numPr>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Real Estate</w:t>
                  </w:r>
                </w:p>
                <w:p w:rsidR="006F783D" w:rsidP="3F5284D7" w:rsidRDefault="006F783D" w14:paraId="4B59724D" w14:textId="1889C19F" w14:noSpellErr="1">
                  <w:pPr>
                    <w:pStyle w:val="ListParagraph"/>
                    <w:framePr w:hSpace="180" w:wrap="around" w:hAnchor="margin" w:vAnchor="text" w:xAlign="right" w:y="3856"/>
                    <w:numPr>
                      <w:ilvl w:val="0"/>
                      <w:numId w:val="1"/>
                    </w:numPr>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Real Estate Litigation</w:t>
                  </w:r>
                </w:p>
                <w:p w:rsidRPr="006F783D" w:rsidR="0005599F" w:rsidP="3F5284D7" w:rsidRDefault="006F783D" w14:paraId="22A85BCB" w14:textId="7870FB4D" w14:noSpellErr="1">
                  <w:pPr>
                    <w:pStyle w:val="ListParagraph"/>
                    <w:framePr w:hSpace="180" w:wrap="around" w:hAnchor="margin" w:vAnchor="text" w:xAlign="right" w:y="3856"/>
                    <w:numPr>
                      <w:ilvl w:val="0"/>
                      <w:numId w:val="1"/>
                    </w:numPr>
                    <w:rPr>
                      <w:rFonts w:ascii="Century Gothic" w:hAnsi="Century Gothic" w:eastAsia="Century Gothic" w:cs="Century Gothic"/>
                      <w:color w:val="09223F"/>
                      <w:sz w:val="20"/>
                      <w:szCs w:val="20"/>
                    </w:rPr>
                  </w:pPr>
                  <w:r w:rsidRPr="3F5284D7" w:rsidR="3F5284D7">
                    <w:rPr>
                      <w:rFonts w:ascii="Century Gothic" w:hAnsi="Century Gothic" w:eastAsia="Century Gothic" w:cs="Century Gothic"/>
                      <w:color w:val="09223F"/>
                      <w:sz w:val="20"/>
                      <w:szCs w:val="20"/>
                    </w:rPr>
                    <w:t>Trust and Estate Litigation</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257BC1" w:rsidTr="3F5284D7" w14:paraId="234A0AB6" w14:textId="77777777">
        <w:trPr>
          <w:trHeight w:val="288"/>
        </w:trPr>
        <w:tc>
          <w:tcPr>
            <w:tcW w:w="10299" w:type="dxa"/>
            <w:tcMar/>
          </w:tcPr>
          <w:p w:rsidRPr="008F5DD7" w:rsidR="00257BC1" w:rsidP="00996259" w:rsidRDefault="00257BC1" w14:paraId="106C3C17" w14:textId="77777777">
            <w:pPr>
              <w:pStyle w:val="BasicParagraph"/>
              <w:rPr>
                <w:rFonts w:ascii="Century Gothic Light" w:hAnsi="Century Gothic Light" w:cs="Century Gothic Light"/>
                <w:caps/>
                <w:color w:val="F5821F"/>
                <w:szCs w:val="28"/>
              </w:rPr>
            </w:pPr>
          </w:p>
        </w:tc>
      </w:tr>
      <w:tr w:rsidR="00257BC1" w:rsidTr="3F5284D7" w14:paraId="3CAA01D0" w14:textId="77777777">
        <w:trPr>
          <w:trHeight w:val="288"/>
        </w:trPr>
        <w:tc>
          <w:tcPr>
            <w:tcW w:w="10299" w:type="dxa"/>
            <w:tcMar/>
          </w:tcPr>
          <w:p w:rsidRPr="00996259" w:rsidR="00257BC1" w:rsidP="00257BC1" w:rsidRDefault="00257BC1" w14:paraId="127835E5" w14:textId="3C8F4FB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REPRESENTATIVE CASES</w:t>
            </w:r>
          </w:p>
          <w:p w:rsidRPr="006F783D" w:rsidR="006F783D" w:rsidP="006F783D" w:rsidRDefault="006F783D" w14:paraId="72190C7B" w14:textId="77777777">
            <w:pPr>
              <w:pStyle w:val="ListParagraph"/>
              <w:numPr>
                <w:ilvl w:val="0"/>
                <w:numId w:val="1"/>
              </w:numPr>
              <w:rPr>
                <w:rFonts w:cs="Century Gothic Light"/>
                <w:color w:val="09223F"/>
              </w:rPr>
            </w:pPr>
            <w:r w:rsidRPr="006F783D">
              <w:rPr>
                <w:rFonts w:cs="Century Gothic Light"/>
                <w:color w:val="09223F"/>
              </w:rPr>
              <w:t>Represented the trustees of the Patrick D. Bowlen Trust in litigation concerning Pat Bowlen’s estate plan and plan for succession of the ownership and control of the Denver Broncos Football Club.</w:t>
            </w:r>
          </w:p>
          <w:p w:rsidRPr="006F783D" w:rsidR="006F783D" w:rsidP="006F783D" w:rsidRDefault="006F783D" w14:paraId="4600CD0F" w14:textId="77777777">
            <w:pPr>
              <w:pStyle w:val="ListParagraph"/>
              <w:numPr>
                <w:ilvl w:val="0"/>
                <w:numId w:val="1"/>
              </w:numPr>
              <w:rPr>
                <w:rFonts w:cs="Century Gothic Light"/>
                <w:color w:val="09223F"/>
              </w:rPr>
            </w:pPr>
            <w:r w:rsidRPr="006F783D">
              <w:rPr>
                <w:rFonts w:cs="Century Gothic Light"/>
                <w:color w:val="09223F"/>
              </w:rPr>
              <w:t>Serves as general counsel for investment firm specializing in real estate development and syndicated investments.  In addition to providing advice on day-to-day corporate matters, Michael has also served as lead trial counsel in multiple proceedings involving business and real estate disputes.</w:t>
            </w:r>
          </w:p>
          <w:p w:rsidRPr="006F783D" w:rsidR="006F783D" w:rsidP="006F783D" w:rsidRDefault="006F783D" w14:paraId="27C79463" w14:textId="77777777">
            <w:pPr>
              <w:pStyle w:val="ListParagraph"/>
              <w:numPr>
                <w:ilvl w:val="0"/>
                <w:numId w:val="1"/>
              </w:numPr>
              <w:rPr>
                <w:rFonts w:cs="Century Gothic Light"/>
                <w:color w:val="09223F"/>
              </w:rPr>
            </w:pPr>
            <w:r w:rsidRPr="006F783D">
              <w:rPr>
                <w:rFonts w:cs="Century Gothic Light"/>
                <w:color w:val="09223F"/>
              </w:rPr>
              <w:t>Represented the Denver Broncos Football Club in numerous matters, including disputes with former ticket holders and national litigation involving pain medication prescriptions. In addition to serving as litigation counsel to the Broncos, Michael also routinely advises the club on general organizational matters and drafts policies for the club’s use and dissemination.</w:t>
            </w:r>
          </w:p>
          <w:p w:rsidRPr="006F783D" w:rsidR="006F783D" w:rsidP="006F783D" w:rsidRDefault="006F783D" w14:paraId="2E946EEF" w14:textId="19288103">
            <w:pPr>
              <w:pStyle w:val="ListParagraph"/>
              <w:numPr>
                <w:ilvl w:val="0"/>
                <w:numId w:val="1"/>
              </w:numPr>
              <w:rPr>
                <w:rFonts w:cs="Century Gothic Light"/>
                <w:color w:val="09223F"/>
              </w:rPr>
            </w:pPr>
            <w:r w:rsidRPr="006F783D">
              <w:rPr>
                <w:rFonts w:cs="Century Gothic Light"/>
                <w:color w:val="09223F"/>
              </w:rPr>
              <w:t xml:space="preserve">Represented plaintiff guaranty associations and special deputy receiver in highly-complex litigation against multiple bank trustees, professional accounting firms, and other institutional defendants arising out of a nationwide fraudulent scheme perpetrated by a prearranged funeral service provider and its affiliated life insurance companies.  Michael’s clients received significant recoveries through settlement and a jury verdict of $391 million against PNC Bank.  Following the Eighth Circuit’s remand of the case against PNC, Michael played a critical role in securing a combined $106 million judgment ($99 million in compensatory and punitive damages and $7 million in attorney fees and litigation costs) against PNC Bank for breach of trust. </w:t>
            </w:r>
            <w:r w:rsidRPr="00257BC1">
              <w:rPr>
                <w:rFonts w:cs="Century Gothic Light"/>
                <w:color w:val="09223F"/>
              </w:rPr>
              <w:t xml:space="preserve"> The 8th Circuit affirmed the judgment in its entirety.</w:t>
            </w:r>
          </w:p>
          <w:p w:rsidRPr="006F783D" w:rsidR="006F783D" w:rsidP="006F783D" w:rsidRDefault="006F783D" w14:paraId="0F709FEB" w14:textId="77777777">
            <w:pPr>
              <w:pStyle w:val="ListParagraph"/>
              <w:numPr>
                <w:ilvl w:val="0"/>
                <w:numId w:val="1"/>
              </w:numPr>
              <w:rPr>
                <w:rFonts w:cs="Century Gothic Light"/>
                <w:color w:val="09223F"/>
              </w:rPr>
            </w:pPr>
            <w:r w:rsidRPr="006F783D">
              <w:rPr>
                <w:rFonts w:cs="Century Gothic Light"/>
                <w:color w:val="09223F"/>
              </w:rPr>
              <w:t xml:space="preserve">Represented </w:t>
            </w:r>
            <w:proofErr w:type="spellStart"/>
            <w:r w:rsidRPr="006F783D">
              <w:rPr>
                <w:rFonts w:cs="Century Gothic Light"/>
                <w:color w:val="09223F"/>
              </w:rPr>
              <w:t>DCP</w:t>
            </w:r>
            <w:proofErr w:type="spellEnd"/>
            <w:r w:rsidRPr="006F783D">
              <w:rPr>
                <w:rFonts w:cs="Century Gothic Light"/>
                <w:color w:val="09223F"/>
              </w:rPr>
              <w:t xml:space="preserve"> Midstream, one of the nation’s largest natural gas processing companies, in a multimillion-dollar breach of contract dispute involving complex oil and gas accounting issues.  Michael’s client obtained a favorable jury verdict following a six-day jury trial, which included a seven-figure award in favor of </w:t>
            </w:r>
            <w:proofErr w:type="spellStart"/>
            <w:r w:rsidRPr="006F783D">
              <w:rPr>
                <w:rFonts w:cs="Century Gothic Light"/>
                <w:color w:val="09223F"/>
              </w:rPr>
              <w:t>DCP</w:t>
            </w:r>
            <w:proofErr w:type="spellEnd"/>
            <w:r w:rsidRPr="006F783D">
              <w:rPr>
                <w:rFonts w:cs="Century Gothic Light"/>
                <w:color w:val="09223F"/>
              </w:rPr>
              <w:t xml:space="preserve"> on its counterclaim.</w:t>
            </w:r>
          </w:p>
          <w:p w:rsidRPr="006F783D" w:rsidR="006F783D" w:rsidP="006F783D" w:rsidRDefault="006F783D" w14:paraId="6EB3ACB8" w14:textId="77777777">
            <w:pPr>
              <w:pStyle w:val="ListParagraph"/>
              <w:numPr>
                <w:ilvl w:val="0"/>
                <w:numId w:val="1"/>
              </w:numPr>
              <w:rPr>
                <w:rFonts w:cs="Century Gothic Light"/>
                <w:color w:val="09223F"/>
              </w:rPr>
            </w:pPr>
            <w:r w:rsidRPr="006F783D">
              <w:rPr>
                <w:rFonts w:cs="Century Gothic Light"/>
                <w:color w:val="09223F"/>
              </w:rPr>
              <w:t>Represented start-up tax consulting firm in a complex trade secret and non-compete dispute.  Michael’s work as lead counsel on this matter resulted in his client obtaining a favorable pre-trial settlement.</w:t>
            </w:r>
          </w:p>
          <w:p w:rsidRPr="00257BC1" w:rsidR="00257BC1" w:rsidP="006F783D" w:rsidRDefault="006F783D" w14:paraId="6A899F1D" w14:textId="65D2138A">
            <w:pPr>
              <w:pStyle w:val="ListParagraph"/>
              <w:numPr>
                <w:ilvl w:val="0"/>
                <w:numId w:val="1"/>
              </w:numPr>
              <w:rPr>
                <w:rFonts w:cs="Century Gothic Light"/>
                <w:color w:val="09223F"/>
              </w:rPr>
            </w:pPr>
            <w:r w:rsidRPr="006F783D">
              <w:rPr>
                <w:rFonts w:cs="Century Gothic Light"/>
                <w:color w:val="09223F"/>
              </w:rPr>
              <w:t>Participated in confidential representation of Fortune 500 company to conduct internal investigation into potential internal controls failure and misreporting to an outside auditor.</w:t>
            </w:r>
          </w:p>
        </w:tc>
      </w:tr>
      <w:tr w:rsidR="00C61BBC" w:rsidTr="3F5284D7"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644C31" w:rsidTr="3F5284D7" w14:paraId="6D57AAF5" w14:textId="77777777">
        <w:trPr>
          <w:trHeight w:val="2190"/>
        </w:trPr>
        <w:tc>
          <w:tcPr>
            <w:tcW w:w="10299" w:type="dxa"/>
            <w:tcMar/>
          </w:tcPr>
          <w:p w:rsidRPr="00996259" w:rsidR="00644C31" w:rsidP="00644C31" w:rsidRDefault="0005599F" w14:paraId="3CB873D3" w14:textId="73AD940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91129" w:rsidR="00644C31" w:rsidP="00491129" w:rsidRDefault="00257BC1" w14:noSpellErr="1" w14:paraId="7D8978EF" w14:textId="7B7C9490">
            <w:pPr>
              <w:pStyle w:val="ListParagraph"/>
              <w:numPr>
                <w:ilvl w:val="0"/>
                <w:numId w:val="1"/>
              </w:numPr>
              <w:rPr>
                <w:rFonts w:cs="Century Gothic Light"/>
                <w:color w:val="09223F"/>
              </w:rPr>
            </w:pPr>
            <w:r w:rsidRPr="3F5284D7" w:rsidR="3F5284D7">
              <w:rPr>
                <w:rFonts w:cs="Century Gothic Light"/>
                <w:i w:val="1"/>
                <w:iCs w:val="1"/>
                <w:color w:val="09223F"/>
              </w:rPr>
              <w:t xml:space="preserve">Colorado Super Lawyer®, </w:t>
            </w:r>
            <w:r w:rsidRPr="3F5284D7" w:rsidR="3F5284D7">
              <w:rPr>
                <w:rFonts w:cs="Century Gothic Light"/>
                <w:color w:val="09223F"/>
              </w:rPr>
              <w:t>20</w:t>
            </w:r>
            <w:r w:rsidRPr="3F5284D7" w:rsidR="3F5284D7">
              <w:rPr>
                <w:rFonts w:cs="Century Gothic Light"/>
                <w:color w:val="09223F"/>
              </w:rPr>
              <w:t>16-2022</w:t>
            </w:r>
          </w:p>
          <w:p w:rsidRPr="00491129" w:rsidR="00644C31" w:rsidP="3F5284D7" w:rsidRDefault="00257BC1" w14:paraId="4484BBF7" w14:textId="0EC309B5">
            <w:pPr>
              <w:pStyle w:val="Normal"/>
              <w:ind w:left="0"/>
              <w:rPr>
                <w:rFonts w:cs="Century Gothic Light"/>
                <w:color w:val="FF8200" w:themeColor="accent2" w:themeTint="FF" w:themeShade="FF"/>
                <w:sz w:val="28"/>
                <w:szCs w:val="28"/>
              </w:rPr>
            </w:pPr>
          </w:p>
          <w:p w:rsidRPr="00491129" w:rsidR="00644C31" w:rsidP="3F5284D7" w:rsidRDefault="00257BC1" w14:paraId="33106F52" w14:textId="076E9049">
            <w:pPr>
              <w:pStyle w:val="Normal"/>
              <w:ind w:left="0"/>
              <w:rPr>
                <w:rFonts w:cs="Century Gothic Light"/>
                <w:color w:val="FF8200" w:themeColor="accent2" w:themeTint="FF" w:themeShade="FF"/>
                <w:sz w:val="28"/>
                <w:szCs w:val="28"/>
              </w:rPr>
            </w:pPr>
            <w:r w:rsidRPr="3F5284D7" w:rsidR="3F5284D7">
              <w:rPr>
                <w:rFonts w:cs="Century Gothic Light"/>
                <w:color w:val="FF8200" w:themeColor="accent2" w:themeTint="FF" w:themeShade="FF"/>
                <w:sz w:val="28"/>
                <w:szCs w:val="28"/>
              </w:rPr>
              <w:t>ARTICLES AND PRESENTATIONS</w:t>
            </w:r>
          </w:p>
          <w:p w:rsidRPr="00491129" w:rsidR="00644C31" w:rsidP="3F5284D7" w:rsidRDefault="00257BC1" w14:paraId="62EB0625" w14:textId="1B596D58">
            <w:pPr>
              <w:pStyle w:val="ListParagraph"/>
              <w:numPr>
                <w:ilvl w:val="0"/>
                <w:numId w:val="22"/>
              </w:numPr>
              <w:rPr>
                <w:rFonts w:ascii="Century Gothic Light" w:hAnsi="Century Gothic Light" w:eastAsia="Century Gothic Light" w:cs="Century Gothic Light"/>
                <w:color w:val="0C2340" w:themeColor="accent4" w:themeTint="FF" w:themeShade="FF"/>
                <w:sz w:val="22"/>
                <w:szCs w:val="22"/>
              </w:rPr>
            </w:pPr>
            <w:r w:rsidRPr="3F5284D7" w:rsidR="3F5284D7">
              <w:rPr>
                <w:rFonts w:cs="Century Gothic Light"/>
                <w:color w:val="0C2340" w:themeColor="accent4" w:themeTint="FF" w:themeShade="FF"/>
                <w:sz w:val="22"/>
                <w:szCs w:val="22"/>
              </w:rPr>
              <w:t>Interview, "The Opportunities Available at Fennemore are Seemingly Endless," Fennemore Blog, July 14, 2022</w:t>
            </w:r>
          </w:p>
        </w:tc>
      </w:tr>
      <w:tr w:rsidR="00644C31" w:rsidTr="3F5284D7" w14:paraId="3A841BD3" w14:textId="77777777">
        <w:trPr>
          <w:trHeight w:val="288"/>
        </w:trPr>
        <w:tc>
          <w:tcPr>
            <w:tcW w:w="10299" w:type="dxa"/>
            <w:tcMar/>
          </w:tcPr>
          <w:p w:rsidRPr="008F5DD7" w:rsidR="00644C31" w:rsidP="00996259" w:rsidRDefault="00644C31" w14:paraId="40F60E01" w14:textId="77777777">
            <w:pPr>
              <w:pStyle w:val="BasicParagraph"/>
              <w:rPr>
                <w:rFonts w:ascii="Century Gothic Light" w:hAnsi="Century Gothic Light" w:cs="Century Gothic Light"/>
                <w:caps/>
                <w:color w:val="F5821F"/>
                <w:szCs w:val="28"/>
              </w:rPr>
            </w:pPr>
          </w:p>
        </w:tc>
      </w:tr>
      <w:tr w:rsidR="0032458F" w:rsidTr="3F5284D7"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6F783D" w:rsidR="006F783D" w:rsidP="006F783D" w:rsidRDefault="006F783D" w14:paraId="49E7D6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t>Colorado Trial Lawyers Association</w:t>
            </w:r>
          </w:p>
          <w:p w:rsidRPr="006F783D" w:rsidR="006F783D" w:rsidP="006F783D" w:rsidRDefault="006F783D" w14:paraId="5E18FD1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t>Young Alumni Committee, University of Miami School of Law</w:t>
            </w:r>
          </w:p>
          <w:p w:rsidRPr="006F783D" w:rsidR="00491129" w:rsidP="3F5284D7" w:rsidRDefault="00491129" w14:paraId="4D11F208" w14:textId="2D2D1125">
            <w:pPr>
              <w:pStyle w:val="BasicParagraph"/>
              <w:numPr>
                <w:ilvl w:val="0"/>
                <w:numId w:val="1"/>
              </w:numPr>
              <w:suppressAutoHyphens/>
              <w:spacing w:line="240" w:lineRule="auto"/>
              <w:ind/>
              <w:rPr>
                <w:rFonts w:ascii="Century Gothic Light" w:hAnsi="Century Gothic Light" w:cs="Century Gothic Light"/>
                <w:color w:val="09223F"/>
                <w:sz w:val="22"/>
                <w:szCs w:val="22"/>
              </w:rPr>
            </w:pPr>
            <w:r w:rsidRPr="3F5284D7" w:rsidR="3F5284D7">
              <w:rPr>
                <w:rFonts w:ascii="Century Gothic Light" w:hAnsi="Century Gothic Light" w:cs="Century Gothic Light"/>
                <w:color w:val="09223F"/>
                <w:sz w:val="22"/>
                <w:szCs w:val="22"/>
              </w:rPr>
              <w:t>Denver Bar Association</w:t>
            </w:r>
          </w:p>
          <w:p w:rsidRPr="006F783D" w:rsidR="006F783D" w:rsidP="006F783D" w:rsidRDefault="006F783D" w14:paraId="50ACB8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lastRenderedPageBreak/>
              <w:t>Boulder Bar Association</w:t>
            </w:r>
          </w:p>
          <w:p w:rsidRPr="007E48AE" w:rsidR="0032458F" w:rsidP="006F783D" w:rsidRDefault="006F783D" w14:paraId="3F1DFD16" w14:textId="0D31546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F783D">
              <w:rPr>
                <w:rFonts w:ascii="Century Gothic Light" w:hAnsi="Century Gothic Light" w:cs="Century Gothic Light"/>
                <w:color w:val="09223F"/>
                <w:sz w:val="22"/>
                <w:szCs w:val="22"/>
              </w:rPr>
              <w:t>Colorado Bar Association</w:t>
            </w:r>
          </w:p>
        </w:tc>
      </w:tr>
      <w:tr w:rsidR="0032458F" w:rsidTr="3F5284D7"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3F5284D7"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7E48AE" w:rsidR="007E48AE" w:rsidP="007E48AE" w:rsidRDefault="007E48AE" w14:paraId="2B2F91F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Colorado</w:t>
            </w:r>
          </w:p>
          <w:p w:rsidRPr="007E48AE" w:rsidR="007E48AE" w:rsidP="007E48AE" w:rsidRDefault="007E48AE" w14:paraId="701CCF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Court of Appeals Tenth Circuit</w:t>
            </w:r>
          </w:p>
          <w:p w:rsidRPr="006F783D" w:rsidR="00BA0C8B" w:rsidP="006F783D" w:rsidRDefault="007E48AE" w14:paraId="044073AE" w14:textId="4EAF77A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48AE">
              <w:rPr>
                <w:rFonts w:ascii="Century Gothic Light" w:hAnsi="Century Gothic Light" w:cs="Century Gothic Light"/>
                <w:color w:val="09223F"/>
                <w:sz w:val="22"/>
                <w:szCs w:val="22"/>
              </w:rPr>
              <w:t>U.S. District Court, District of Colorado</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1C49" w:rsidP="008700A0" w:rsidRDefault="00EA1C49" w14:paraId="4DFE2C74" w14:textId="77777777">
      <w:pPr>
        <w:spacing w:after="0" w:line="240" w:lineRule="auto"/>
      </w:pPr>
      <w:r>
        <w:separator/>
      </w:r>
    </w:p>
  </w:endnote>
  <w:endnote w:type="continuationSeparator" w:id="0">
    <w:p w:rsidR="00EA1C49" w:rsidP="008700A0" w:rsidRDefault="00EA1C49" w14:paraId="295585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1C49" w:rsidP="008700A0" w:rsidRDefault="00EA1C49" w14:paraId="635DE931" w14:textId="77777777">
      <w:pPr>
        <w:spacing w:after="0" w:line="240" w:lineRule="auto"/>
      </w:pPr>
      <w:r>
        <w:separator/>
      </w:r>
    </w:p>
  </w:footnote>
  <w:footnote w:type="continuationSeparator" w:id="0">
    <w:p w:rsidR="00EA1C49" w:rsidP="008700A0" w:rsidRDefault="00EA1C49" w14:paraId="2425A4D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A870D11">
          <wp:simplePos x="0" y="0"/>
          <wp:positionH relativeFrom="margin">
            <wp:posOffset>-457200</wp:posOffset>
          </wp:positionH>
          <wp:positionV relativeFrom="margin">
            <wp:posOffset>-464184</wp:posOffset>
          </wp:positionV>
          <wp:extent cx="7772358" cy="10058344"/>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3"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2">
    <w:abstractNumId w:val="21"/>
  </w:num>
  <w:num w:numId="1">
    <w:abstractNumId w:val="18"/>
  </w:num>
  <w:num w:numId="2">
    <w:abstractNumId w:val="5"/>
  </w:num>
  <w:num w:numId="3">
    <w:abstractNumId w:val="12"/>
  </w:num>
  <w:num w:numId="4">
    <w:abstractNumId w:val="3"/>
  </w:num>
  <w:num w:numId="5">
    <w:abstractNumId w:val="4"/>
  </w:num>
  <w:num w:numId="6">
    <w:abstractNumId w:val="15"/>
  </w:num>
  <w:num w:numId="7">
    <w:abstractNumId w:val="14"/>
  </w:num>
  <w:num w:numId="8">
    <w:abstractNumId w:val="11"/>
  </w:num>
  <w:num w:numId="9">
    <w:abstractNumId w:val="6"/>
  </w:num>
  <w:num w:numId="10">
    <w:abstractNumId w:val="8"/>
  </w:num>
  <w:num w:numId="11">
    <w:abstractNumId w:val="16"/>
  </w:num>
  <w:num w:numId="12">
    <w:abstractNumId w:val="7"/>
  </w:num>
  <w:num w:numId="13">
    <w:abstractNumId w:val="1"/>
  </w:num>
  <w:num w:numId="14">
    <w:abstractNumId w:val="19"/>
  </w:num>
  <w:num w:numId="15">
    <w:abstractNumId w:val="20"/>
  </w:num>
  <w:num w:numId="16">
    <w:abstractNumId w:val="9"/>
  </w:num>
  <w:num w:numId="17">
    <w:abstractNumId w:val="10"/>
  </w:num>
  <w:num w:numId="18">
    <w:abstractNumId w:val="0"/>
  </w:num>
  <w:num w:numId="19">
    <w:abstractNumId w:val="1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A7BAD"/>
    <w:rsid w:val="000B29E6"/>
    <w:rsid w:val="000D2207"/>
    <w:rsid w:val="001138EA"/>
    <w:rsid w:val="0013739E"/>
    <w:rsid w:val="001513B1"/>
    <w:rsid w:val="00160172"/>
    <w:rsid w:val="00186EC9"/>
    <w:rsid w:val="001B4A50"/>
    <w:rsid w:val="00216E51"/>
    <w:rsid w:val="00217188"/>
    <w:rsid w:val="0021738A"/>
    <w:rsid w:val="002218CB"/>
    <w:rsid w:val="00227D23"/>
    <w:rsid w:val="002548B5"/>
    <w:rsid w:val="00257BC1"/>
    <w:rsid w:val="00266E0F"/>
    <w:rsid w:val="00295769"/>
    <w:rsid w:val="002D5A17"/>
    <w:rsid w:val="002D67F0"/>
    <w:rsid w:val="00312CFC"/>
    <w:rsid w:val="00314AB5"/>
    <w:rsid w:val="0032458F"/>
    <w:rsid w:val="00324C69"/>
    <w:rsid w:val="00325FC1"/>
    <w:rsid w:val="00333AD5"/>
    <w:rsid w:val="00345563"/>
    <w:rsid w:val="00371E4C"/>
    <w:rsid w:val="0039208F"/>
    <w:rsid w:val="003D7834"/>
    <w:rsid w:val="00491129"/>
    <w:rsid w:val="00496F86"/>
    <w:rsid w:val="004B0FA7"/>
    <w:rsid w:val="005141AD"/>
    <w:rsid w:val="00515DE9"/>
    <w:rsid w:val="005501CE"/>
    <w:rsid w:val="00566492"/>
    <w:rsid w:val="00587218"/>
    <w:rsid w:val="00590A25"/>
    <w:rsid w:val="005D3709"/>
    <w:rsid w:val="005F080B"/>
    <w:rsid w:val="00617B93"/>
    <w:rsid w:val="00644C31"/>
    <w:rsid w:val="006460D1"/>
    <w:rsid w:val="00646DBF"/>
    <w:rsid w:val="00655093"/>
    <w:rsid w:val="006F783D"/>
    <w:rsid w:val="00733A23"/>
    <w:rsid w:val="00772C3A"/>
    <w:rsid w:val="00793DD1"/>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B779C2"/>
    <w:rsid w:val="00BA0C8B"/>
    <w:rsid w:val="00BA5277"/>
    <w:rsid w:val="00C3111D"/>
    <w:rsid w:val="00C61BBC"/>
    <w:rsid w:val="00C727B6"/>
    <w:rsid w:val="00C834FB"/>
    <w:rsid w:val="00D3611B"/>
    <w:rsid w:val="00DD3DB3"/>
    <w:rsid w:val="00DE4410"/>
    <w:rsid w:val="00E0643E"/>
    <w:rsid w:val="00E10978"/>
    <w:rsid w:val="00E35A9F"/>
    <w:rsid w:val="00E4405C"/>
    <w:rsid w:val="00E51AB5"/>
    <w:rsid w:val="00E61979"/>
    <w:rsid w:val="00EA1C49"/>
    <w:rsid w:val="00ED2D47"/>
    <w:rsid w:val="00EE3A71"/>
    <w:rsid w:val="00EE7F20"/>
    <w:rsid w:val="00F03F17"/>
    <w:rsid w:val="00F23DC3"/>
    <w:rsid w:val="00F87B62"/>
    <w:rsid w:val="00FB06C0"/>
    <w:rsid w:val="3F528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revision>
  <lastPrinted>2021-01-06T15:46:00.0000000Z</lastPrinted>
  <dcterms:created xsi:type="dcterms:W3CDTF">2022-03-07T23:02:00.0000000Z</dcterms:created>
  <dcterms:modified xsi:type="dcterms:W3CDTF">2022-08-09T12:53:07.3695475Z</dcterms:modified>
</coreProperties>
</file>