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3856"/>
        <w:tblW w:w="10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99"/>
      </w:tblGrid>
      <w:tr w:rsidR="008700A0" w:rsidTr="4BBEE7CE" w14:paraId="3E2643B7" w14:textId="77777777">
        <w:trPr>
          <w:trHeight w:val="579"/>
        </w:trPr>
        <w:tc>
          <w:tcPr>
            <w:tcW w:w="10299" w:type="dxa"/>
            <w:tcMar/>
          </w:tcPr>
          <w:p w:rsidRPr="003D54B1" w:rsidR="003D54B1" w:rsidP="003D54B1" w:rsidRDefault="003D54B1" w14:paraId="12BEB922" w14:textId="77777777">
            <w:pPr>
              <w:pStyle w:val="BasicParagraph"/>
              <w:suppressAutoHyphens/>
              <w:spacing w:line="240" w:lineRule="auto"/>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Therese Shanks is an Of Counsel attorney who works in the Business Litigation practice group out of our Reno office. Her practice focuses on appeals and litigation matters such as tort law, contract law, complex commercial transactions, employment law, trade secret, real property law and probate and trust. She possesses extensive appellate experience and has successfully handled numerous appeals before the Nevada Supreme Court, Nevada Court of Appeals, the Ninth Circuit Court of Appeals and the United States Supreme Court. Therese has extensive experience in drafting briefs, amicus briefs, writ petitions, and post-decision petitions.  Therese also has substantial bench and jury trial experience.</w:t>
            </w:r>
          </w:p>
          <w:p w:rsidRPr="003D54B1" w:rsidR="003D54B1" w:rsidP="003D54B1" w:rsidRDefault="003D54B1" w14:paraId="39D0FBF5" w14:textId="77777777">
            <w:pPr>
              <w:pStyle w:val="BasicParagraph"/>
              <w:suppressAutoHyphens/>
              <w:spacing w:line="240" w:lineRule="auto"/>
              <w:rPr>
                <w:rFonts w:ascii="Century Gothic Light" w:hAnsi="Century Gothic Light" w:cs="Century Gothic Light"/>
                <w:color w:val="09223F"/>
                <w:sz w:val="22"/>
                <w:szCs w:val="22"/>
              </w:rPr>
            </w:pPr>
          </w:p>
          <w:p w:rsidRPr="003D54B1" w:rsidR="003D54B1" w:rsidP="003D54B1" w:rsidRDefault="003D54B1" w14:paraId="215EBF19" w14:textId="77777777">
            <w:pPr>
              <w:pStyle w:val="BasicParagraph"/>
              <w:suppressAutoHyphens/>
              <w:spacing w:line="240" w:lineRule="auto"/>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Born and raised in Reno, Therese began her career as a clerk at the Nevada Supreme Court for the Honorable Justice James W. Hardesty. During her career in the Silver State, Therese was the first attorney representing an amicus party to argue before the Nevada Court of Appeals, as well as the first attorney to receive a written opinion from an appeal in the Nevada Supreme Court’s pro bono program.</w:t>
            </w:r>
          </w:p>
          <w:p w:rsidRPr="003D54B1" w:rsidR="003D54B1" w:rsidP="003D54B1" w:rsidRDefault="003D54B1" w14:paraId="4AD5D46F" w14:textId="77777777">
            <w:pPr>
              <w:pStyle w:val="BasicParagraph"/>
              <w:suppressAutoHyphens/>
              <w:spacing w:line="240" w:lineRule="auto"/>
              <w:rPr>
                <w:rFonts w:ascii="Century Gothic Light" w:hAnsi="Century Gothic Light" w:cs="Century Gothic Light"/>
                <w:color w:val="09223F"/>
                <w:sz w:val="22"/>
                <w:szCs w:val="22"/>
              </w:rPr>
            </w:pPr>
          </w:p>
          <w:p w:rsidR="008700A0" w:rsidP="003D54B1" w:rsidRDefault="003D54B1" w14:paraId="39C10D41" w14:textId="08438291">
            <w:r w:rsidRPr="003D54B1">
              <w:rPr>
                <w:rFonts w:cs="Century Gothic Light"/>
                <w:color w:val="09223F"/>
              </w:rPr>
              <w:t>Active in the Reno community, Therese is currently a member of the Board of the Washoe County Bar Association, a member at large of the Appellate Section of the State Bar of Nevada, and serves on the amicus committee of the Nevada Justice Association. Outside of work, you’ll probably find Therese chasing her two young daughters, along with her two dogs, one named Ruby and the other named Gina (which she has now learned is a terrible name for a dog). Being a working mother like being the ringleader of a goat rodeo, but she would not have it any other way.</w:t>
            </w:r>
          </w:p>
        </w:tc>
      </w:tr>
      <w:tr w:rsidR="008700A0" w:rsidTr="4BBEE7CE" w14:paraId="7B190A89" w14:textId="77777777">
        <w:trPr>
          <w:trHeight w:val="579"/>
        </w:trPr>
        <w:tc>
          <w:tcPr>
            <w:tcW w:w="10299" w:type="dxa"/>
            <w:tcMar/>
          </w:tcPr>
          <w:p w:rsidR="008700A0" w:rsidP="008700A0" w:rsidRDefault="008700A0" w14:paraId="5D0099CC" w14:textId="77777777">
            <w:pPr>
              <w:pStyle w:val="BasicParagraph"/>
              <w:suppressAutoHyphens/>
              <w:spacing w:line="240" w:lineRule="auto"/>
              <w:rPr>
                <w:rFonts w:ascii="Century Gothic Light" w:hAnsi="Century Gothic Light" w:cs="Century Gothic Light"/>
                <w:color w:val="09223F"/>
                <w:sz w:val="22"/>
                <w:szCs w:val="22"/>
              </w:rPr>
            </w:pPr>
          </w:p>
        </w:tc>
      </w:tr>
      <w:tr w:rsidR="008700A0" w:rsidTr="4BBEE7CE" w14:paraId="42185E66" w14:textId="77777777">
        <w:trPr>
          <w:trHeight w:val="1152"/>
        </w:trPr>
        <w:tc>
          <w:tcPr>
            <w:tcW w:w="10299" w:type="dxa"/>
            <w:tcMar/>
          </w:tcPr>
          <w:p w:rsidRPr="00996259" w:rsidR="008700A0" w:rsidP="008700A0" w:rsidRDefault="008700A0" w14:paraId="0AB62B66"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EDUCATION</w:t>
            </w:r>
          </w:p>
          <w:p w:rsidRPr="003D54B1" w:rsidR="003D54B1" w:rsidP="003D54B1" w:rsidRDefault="003D54B1" w14:paraId="6757B685"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J.D. University of the Pacific, McGeorge School of Law, Top 3% of Class</w:t>
            </w:r>
          </w:p>
          <w:p w:rsidRPr="005501CE" w:rsidR="002C77E9" w:rsidP="003D54B1" w:rsidRDefault="003D54B1" w14:paraId="3BF85D19" w14:textId="2B01FFA2">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B.A. University of Nevada, Reno</w:t>
            </w:r>
          </w:p>
        </w:tc>
      </w:tr>
      <w:tr w:rsidR="00DE4410" w:rsidTr="4BBEE7CE" w14:paraId="5AA1B251" w14:textId="77777777">
        <w:trPr>
          <w:trHeight w:val="288"/>
        </w:trPr>
        <w:tc>
          <w:tcPr>
            <w:tcW w:w="10299" w:type="dxa"/>
            <w:tcMar/>
          </w:tcPr>
          <w:p w:rsidRPr="008F5DD7" w:rsidR="00DE4410" w:rsidP="008700A0" w:rsidRDefault="00DE4410" w14:paraId="57BF22AA" w14:textId="77777777">
            <w:pPr>
              <w:pStyle w:val="BasicParagraph"/>
              <w:rPr>
                <w:rFonts w:ascii="Century Gothic Light" w:hAnsi="Century Gothic Light" w:cs="Century Gothic Light"/>
                <w:caps/>
                <w:color w:val="F5821F"/>
                <w:szCs w:val="28"/>
              </w:rPr>
            </w:pPr>
          </w:p>
        </w:tc>
      </w:tr>
      <w:tr w:rsidR="00996259" w:rsidTr="4BBEE7CE" w14:paraId="26225FC7" w14:textId="77777777">
        <w:trPr>
          <w:trHeight w:val="720"/>
        </w:trPr>
        <w:tc>
          <w:tcPr>
            <w:tcW w:w="10299" w:type="dxa"/>
            <w:tcMar/>
          </w:tcPr>
          <w:p w:rsidRPr="00996259" w:rsidR="00996259" w:rsidP="00996259" w:rsidRDefault="00996259" w14:paraId="3BEA527C"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AREAS OF PRACTICE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6"/>
              <w:gridCol w:w="5037"/>
            </w:tblGrid>
            <w:tr w:rsidR="00312CFC" w:rsidTr="6AAC02E3" w14:paraId="2FD63DE2" w14:textId="77777777">
              <w:tc>
                <w:tcPr>
                  <w:tcW w:w="5036" w:type="dxa"/>
                  <w:tcMar/>
                </w:tcPr>
                <w:p w:rsidR="00312CFC" w:rsidP="003D54B1" w:rsidRDefault="00BE1413" w14:paraId="001240E8" w14:textId="77777777">
                  <w:pPr>
                    <w:pStyle w:val="BasicParagraph"/>
                    <w:framePr w:hSpace="180" w:wrap="around" w:hAnchor="margin" w:vAnchor="text" w:xAlign="right" w:y="3856"/>
                    <w:numPr>
                      <w:ilvl w:val="0"/>
                      <w:numId w:val="1"/>
                    </w:numPr>
                    <w:suppressAutoHyphens/>
                    <w:spacing w:line="240" w:lineRule="auto"/>
                    <w:ind w:left="61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Business Litigation</w:t>
                  </w:r>
                </w:p>
                <w:p w:rsidR="00BE1413" w:rsidP="003D54B1" w:rsidRDefault="003D54B1" w14:paraId="1719BA8D" w14:textId="77777777">
                  <w:pPr>
                    <w:pStyle w:val="BasicParagraph"/>
                    <w:framePr w:hSpace="180" w:wrap="around" w:hAnchor="margin" w:vAnchor="text" w:xAlign="right" w:y="3856"/>
                    <w:numPr>
                      <w:ilvl w:val="0"/>
                      <w:numId w:val="1"/>
                    </w:numPr>
                    <w:suppressAutoHyphens/>
                    <w:spacing w:line="240" w:lineRule="auto"/>
                    <w:ind w:left="615"/>
                    <w:rPr>
                      <w:rFonts w:ascii="Century Gothic Light" w:hAnsi="Century Gothic Light" w:cs="Century Gothic Light"/>
                      <w:color w:val="09223F"/>
                      <w:sz w:val="22"/>
                      <w:szCs w:val="22"/>
                    </w:rPr>
                  </w:pPr>
                  <w:r w:rsidRPr="003D157A">
                    <w:rPr>
                      <w:rFonts w:ascii="Century Gothic Light" w:hAnsi="Century Gothic Light" w:cs="Century Gothic Light"/>
                      <w:color w:val="09223F"/>
                      <w:sz w:val="22"/>
                      <w:szCs w:val="22"/>
                    </w:rPr>
                    <w:t>Commercial Contingency Litigation</w:t>
                  </w:r>
                </w:p>
                <w:p w:rsidRPr="003D54B1" w:rsidR="003D54B1" w:rsidP="6AAC02E3" w:rsidRDefault="003D54B1" w14:paraId="0C6AF4F1" w14:textId="0FD1216A">
                  <w:pPr>
                    <w:pStyle w:val="BasicParagraph"/>
                    <w:numPr>
                      <w:ilvl w:val="0"/>
                      <w:numId w:val="1"/>
                    </w:numPr>
                    <w:suppressAutoHyphens/>
                    <w:spacing w:line="240" w:lineRule="auto"/>
                    <w:rPr>
                      <w:rFonts w:ascii="Century Gothic Light" w:hAnsi="Century Gothic Light" w:eastAsia="Century Gothic Light" w:cs="Century Gothic Light"/>
                      <w:color w:val="09223F"/>
                      <w:sz w:val="22"/>
                      <w:szCs w:val="22"/>
                    </w:rPr>
                  </w:pPr>
                  <w:r w:rsidRPr="6AAC02E3" w:rsidR="6AAC02E3">
                    <w:rPr>
                      <w:rFonts w:ascii="Century Gothic Light" w:hAnsi="Century Gothic Light" w:cs="Century Gothic Light"/>
                      <w:color w:val="09223F"/>
                      <w:sz w:val="22"/>
                      <w:szCs w:val="22"/>
                    </w:rPr>
                    <w:t>Litigation</w:t>
                  </w:r>
                </w:p>
              </w:tc>
              <w:tc>
                <w:tcPr>
                  <w:tcW w:w="5037" w:type="dxa"/>
                  <w:tcMar/>
                </w:tcPr>
                <w:p w:rsidRPr="003D157A" w:rsidR="003D54B1" w:rsidP="003D54B1" w:rsidRDefault="003D54B1" w14:paraId="0C12D554"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D157A">
                    <w:rPr>
                      <w:rFonts w:ascii="Century Gothic Light" w:hAnsi="Century Gothic Light" w:cs="Century Gothic Light"/>
                      <w:color w:val="09223F"/>
                      <w:sz w:val="22"/>
                      <w:szCs w:val="22"/>
                    </w:rPr>
                    <w:lastRenderedPageBreak/>
                    <w:t>Mediation and Arbitration</w:t>
                  </w:r>
                </w:p>
                <w:p w:rsidRPr="003D157A" w:rsidR="003D54B1" w:rsidP="003D54B1" w:rsidRDefault="003D54B1" w14:paraId="498EAB7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D157A">
                    <w:rPr>
                      <w:rFonts w:ascii="Century Gothic Light" w:hAnsi="Century Gothic Light" w:cs="Century Gothic Light"/>
                      <w:color w:val="09223F"/>
                      <w:sz w:val="22"/>
                      <w:szCs w:val="22"/>
                    </w:rPr>
                    <w:t>Real Estate Litigation</w:t>
                  </w:r>
                </w:p>
                <w:p w:rsidRPr="00DE4410" w:rsidR="00047EFC" w:rsidP="003D54B1" w:rsidRDefault="003D54B1" w14:paraId="22A85BCB" w14:textId="543186D6">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3D157A">
                    <w:rPr>
                      <w:rFonts w:ascii="Century Gothic Light" w:hAnsi="Century Gothic Light" w:cs="Century Gothic Light"/>
                      <w:color w:val="09223F"/>
                      <w:sz w:val="22"/>
                      <w:szCs w:val="22"/>
                    </w:rPr>
                    <w:lastRenderedPageBreak/>
                    <w:t>Trust and Estate Litigation</w:t>
                  </w:r>
                </w:p>
              </w:tc>
            </w:tr>
          </w:tbl>
          <w:p w:rsidR="00996259" w:rsidP="008700A0" w:rsidRDefault="00996259" w14:paraId="4910D759" w14:textId="77777777">
            <w:pPr>
              <w:pStyle w:val="BasicParagraph"/>
              <w:rPr>
                <w:rFonts w:ascii="Century Gothic Light" w:hAnsi="Century Gothic Light" w:cs="Century Gothic Light"/>
                <w:caps/>
                <w:color w:val="F5821F"/>
                <w:sz w:val="32"/>
                <w:szCs w:val="32"/>
              </w:rPr>
            </w:pPr>
          </w:p>
        </w:tc>
      </w:tr>
      <w:tr w:rsidR="00D3611B" w:rsidTr="4BBEE7CE" w14:paraId="3501DA35" w14:textId="77777777">
        <w:trPr>
          <w:trHeight w:val="288"/>
        </w:trPr>
        <w:tc>
          <w:tcPr>
            <w:tcW w:w="10299" w:type="dxa"/>
            <w:tcMar/>
          </w:tcPr>
          <w:p w:rsidRPr="003D54B1" w:rsidR="00D3611B" w:rsidP="003D54B1" w:rsidRDefault="00D3611B" w14:paraId="29BF8FF1" w14:textId="590FB622">
            <w:pPr>
              <w:pStyle w:val="BasicParagraph"/>
              <w:suppressAutoHyphens/>
              <w:spacing w:line="240" w:lineRule="auto"/>
              <w:ind w:left="720"/>
              <w:rPr>
                <w:rFonts w:ascii="Century Gothic Light" w:hAnsi="Century Gothic Light" w:cs="Century Gothic Light"/>
                <w:color w:val="09223F"/>
                <w:sz w:val="22"/>
                <w:szCs w:val="22"/>
              </w:rPr>
            </w:pPr>
          </w:p>
        </w:tc>
      </w:tr>
      <w:tr w:rsidR="003D54B1" w:rsidTr="4BBEE7CE" w14:paraId="5EFC1277" w14:textId="77777777">
        <w:trPr>
          <w:trHeight w:val="288"/>
        </w:trPr>
        <w:tc>
          <w:tcPr>
            <w:tcW w:w="10299" w:type="dxa"/>
            <w:tcMar/>
          </w:tcPr>
          <w:p w:rsidRPr="003D54B1" w:rsidR="003D54B1" w:rsidP="003D54B1" w:rsidRDefault="003D54B1" w14:paraId="1E41A550" w14:textId="65E90C5C">
            <w:pPr>
              <w:pStyle w:val="BasicParagraph"/>
              <w:rPr>
                <w:rFonts w:ascii="Century Gothic Light" w:hAnsi="Century Gothic Light" w:cs="Century Gothic Light"/>
                <w:caps/>
                <w:color w:val="F5821F"/>
                <w:sz w:val="28"/>
                <w:szCs w:val="32"/>
              </w:rPr>
            </w:pPr>
            <w:r w:rsidRPr="003D54B1">
              <w:rPr>
                <w:rFonts w:ascii="Century Gothic Light" w:hAnsi="Century Gothic Light" w:cs="Century Gothic Light"/>
                <w:caps/>
                <w:color w:val="F5821F"/>
                <w:sz w:val="28"/>
                <w:szCs w:val="32"/>
              </w:rPr>
              <w:t>Representative Cases</w:t>
            </w:r>
          </w:p>
          <w:p w:rsidRPr="003D54B1" w:rsidR="003D54B1" w:rsidP="003D54B1" w:rsidRDefault="003D54B1" w14:paraId="3F52F49B" w14:textId="77777777">
            <w:pPr>
              <w:pStyle w:val="BasicParagraph"/>
              <w:numPr>
                <w:ilvl w:val="0"/>
                <w:numId w:val="19"/>
              </w:numPr>
              <w:rPr>
                <w:rFonts w:ascii="Century Gothic Light" w:hAnsi="Century Gothic Light" w:cs="Century Gothic Light"/>
                <w:color w:val="09223F"/>
                <w:sz w:val="22"/>
                <w:szCs w:val="22"/>
              </w:rPr>
            </w:pPr>
            <w:proofErr w:type="spellStart"/>
            <w:r w:rsidRPr="003D54B1">
              <w:rPr>
                <w:rFonts w:ascii="Century Gothic Light" w:hAnsi="Century Gothic Light" w:cs="Century Gothic Light"/>
                <w:color w:val="09223F"/>
                <w:sz w:val="22"/>
                <w:szCs w:val="22"/>
              </w:rPr>
              <w:t>Abarra</w:t>
            </w:r>
            <w:proofErr w:type="spellEnd"/>
            <w:r w:rsidRPr="003D54B1">
              <w:rPr>
                <w:rFonts w:ascii="Century Gothic Light" w:hAnsi="Century Gothic Light" w:cs="Century Gothic Light"/>
                <w:color w:val="09223F"/>
                <w:sz w:val="22"/>
                <w:szCs w:val="22"/>
              </w:rPr>
              <w:t xml:space="preserve"> v. State of Nevada, 131 Nev. 20, 342 P.3d 994 (Nev. 2015)</w:t>
            </w:r>
          </w:p>
          <w:p w:rsidRPr="003D54B1" w:rsidR="003D54B1" w:rsidP="003D54B1" w:rsidRDefault="003D54B1" w14:paraId="6C7EC795" w14:textId="77777777">
            <w:pPr>
              <w:pStyle w:val="BasicParagraph"/>
              <w:numPr>
                <w:ilvl w:val="0"/>
                <w:numId w:val="19"/>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MEI-</w:t>
            </w:r>
            <w:proofErr w:type="spellStart"/>
            <w:r w:rsidRPr="003D54B1">
              <w:rPr>
                <w:rFonts w:ascii="Century Gothic Light" w:hAnsi="Century Gothic Light" w:cs="Century Gothic Light"/>
                <w:color w:val="09223F"/>
                <w:sz w:val="22"/>
                <w:szCs w:val="22"/>
              </w:rPr>
              <w:t>GSR</w:t>
            </w:r>
            <w:proofErr w:type="spellEnd"/>
            <w:r w:rsidRPr="003D54B1">
              <w:rPr>
                <w:rFonts w:ascii="Century Gothic Light" w:hAnsi="Century Gothic Light" w:cs="Century Gothic Light"/>
                <w:color w:val="09223F"/>
                <w:sz w:val="22"/>
                <w:szCs w:val="22"/>
              </w:rPr>
              <w:t xml:space="preserve"> Holdings, LLC v. Peppermill Casinos, Inc., 134 Nev. 235, 416 P.3d 249 (Nev. 2018)</w:t>
            </w:r>
          </w:p>
          <w:p w:rsidRPr="003D54B1" w:rsidR="003D54B1" w:rsidP="003D54B1" w:rsidRDefault="003D54B1" w14:paraId="56BB80D6" w14:textId="77777777">
            <w:pPr>
              <w:pStyle w:val="BasicParagraph"/>
              <w:numPr>
                <w:ilvl w:val="0"/>
                <w:numId w:val="19"/>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Sarfo v. Nevada, State Board of Medical Examiners,134 Nev. 709, 429 P.3d 650 (Nev. 2018)</w:t>
            </w:r>
          </w:p>
          <w:p w:rsidRPr="003D54B1" w:rsidR="003D54B1" w:rsidP="003D54B1" w:rsidRDefault="003D54B1" w14:paraId="724A662F" w14:textId="77777777">
            <w:pPr>
              <w:pStyle w:val="BasicParagraph"/>
              <w:numPr>
                <w:ilvl w:val="0"/>
                <w:numId w:val="19"/>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Pascua v. Bayview Loan Serv., LLC, 135 Nev. 29, 434 P.3d 287 (Nev. 2019)</w:t>
            </w:r>
          </w:p>
          <w:p w:rsidRPr="003D54B1" w:rsidR="003D54B1" w:rsidP="003D54B1" w:rsidRDefault="003D54B1" w14:paraId="2F6B036B" w14:textId="77777777">
            <w:pPr>
              <w:pStyle w:val="BasicParagraph"/>
              <w:numPr>
                <w:ilvl w:val="0"/>
                <w:numId w:val="19"/>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Miller v. C.H. Robinson Worldwide, Inc., 976 F.3d 1016 (9th Cir. 2020)</w:t>
            </w:r>
          </w:p>
          <w:p w:rsidRPr="003D54B1" w:rsidR="003D54B1" w:rsidP="003D54B1" w:rsidRDefault="003D54B1" w14:paraId="3A475E5E" w14:textId="2AC05433">
            <w:pPr>
              <w:pStyle w:val="BasicParagraph"/>
              <w:numPr>
                <w:ilvl w:val="0"/>
                <w:numId w:val="19"/>
              </w:numPr>
              <w:rPr>
                <w:rFonts w:ascii="Century Gothic Light" w:hAnsi="Century Gothic Light" w:cs="Century Gothic Light"/>
                <w:color w:val="09223F"/>
                <w:sz w:val="22"/>
                <w:szCs w:val="22"/>
              </w:rPr>
            </w:pPr>
            <w:proofErr w:type="spellStart"/>
            <w:r w:rsidRPr="003D54B1">
              <w:rPr>
                <w:rFonts w:ascii="Century Gothic Light" w:hAnsi="Century Gothic Light" w:cs="Century Gothic Light"/>
                <w:color w:val="09223F"/>
                <w:sz w:val="22"/>
                <w:szCs w:val="22"/>
              </w:rPr>
              <w:t>Schueler</w:t>
            </w:r>
            <w:proofErr w:type="spellEnd"/>
            <w:r w:rsidRPr="003D54B1">
              <w:rPr>
                <w:rFonts w:ascii="Century Gothic Light" w:hAnsi="Century Gothic Light" w:cs="Century Gothic Light"/>
                <w:color w:val="09223F"/>
                <w:sz w:val="22"/>
                <w:szCs w:val="22"/>
              </w:rPr>
              <w:t xml:space="preserve"> v. Ad Art, Inc., 136 Nev., Adv. Op. 52, 472 P.3d 686 (Nev. App. 2020)</w:t>
            </w:r>
          </w:p>
        </w:tc>
      </w:tr>
      <w:tr w:rsidR="003D54B1" w:rsidTr="4BBEE7CE" w14:paraId="17387A23" w14:textId="77777777">
        <w:trPr>
          <w:trHeight w:val="288"/>
        </w:trPr>
        <w:tc>
          <w:tcPr>
            <w:tcW w:w="10299" w:type="dxa"/>
            <w:tcMar/>
          </w:tcPr>
          <w:p w:rsidRPr="003D54B1" w:rsidR="003D54B1" w:rsidP="003D54B1" w:rsidRDefault="003D54B1" w14:paraId="61DDDB71" w14:textId="77777777">
            <w:pPr>
              <w:pStyle w:val="BasicParagraph"/>
              <w:rPr>
                <w:rFonts w:ascii="Century Gothic Light" w:hAnsi="Century Gothic Light" w:cs="Century Gothic Light"/>
                <w:color w:val="09223F"/>
                <w:sz w:val="22"/>
                <w:szCs w:val="22"/>
              </w:rPr>
            </w:pPr>
          </w:p>
        </w:tc>
      </w:tr>
      <w:tr w:rsidR="003D54B1" w:rsidTr="4BBEE7CE" w14:paraId="448BFD31" w14:textId="77777777">
        <w:trPr>
          <w:trHeight w:val="288"/>
        </w:trPr>
        <w:tc>
          <w:tcPr>
            <w:tcW w:w="10299" w:type="dxa"/>
            <w:tcMar/>
          </w:tcPr>
          <w:p w:rsidRPr="003D54B1" w:rsidR="003D54B1" w:rsidP="003D54B1" w:rsidRDefault="003D54B1" w14:paraId="4E9331CB" w14:textId="77777777">
            <w:pPr>
              <w:pStyle w:val="BasicParagraph"/>
              <w:rPr>
                <w:rFonts w:ascii="Century Gothic Light" w:hAnsi="Century Gothic Light" w:cs="Century Gothic Light"/>
                <w:caps/>
                <w:color w:val="F5821F"/>
                <w:sz w:val="28"/>
                <w:szCs w:val="32"/>
              </w:rPr>
            </w:pPr>
            <w:r w:rsidRPr="003D54B1">
              <w:rPr>
                <w:rFonts w:ascii="Century Gothic Light" w:hAnsi="Century Gothic Light" w:cs="Century Gothic Light"/>
                <w:caps/>
                <w:color w:val="F5821F"/>
                <w:sz w:val="28"/>
                <w:szCs w:val="32"/>
              </w:rPr>
              <w:t>Awards and Honors</w:t>
            </w:r>
          </w:p>
          <w:p w:rsidRPr="003D54B1" w:rsidR="003D54B1" w:rsidP="003D54B1" w:rsidRDefault="003D54B1" w14:paraId="515748C4" w14:textId="260978A9">
            <w:pPr>
              <w:pStyle w:val="BasicParagraph"/>
              <w:numPr>
                <w:ilvl w:val="0"/>
                <w:numId w:val="20"/>
              </w:numPr>
              <w:rPr>
                <w:rFonts w:ascii="Century Gothic Light" w:hAnsi="Century Gothic Light" w:cs="Century Gothic Light"/>
                <w:color w:val="09223F"/>
                <w:sz w:val="22"/>
                <w:szCs w:val="22"/>
              </w:rPr>
            </w:pPr>
            <w:r w:rsidRPr="41E52178" w:rsidR="41E52178">
              <w:rPr>
                <w:rFonts w:ascii="Century Gothic Light" w:hAnsi="Century Gothic Light" w:cs="Century Gothic Light"/>
                <w:color w:val="09223F"/>
                <w:sz w:val="22"/>
                <w:szCs w:val="22"/>
              </w:rPr>
              <w:t>"Legal Elite," Nevada Business Magazine, 2015, 2019-2022</w:t>
            </w:r>
          </w:p>
          <w:p w:rsidRPr="003D54B1" w:rsidR="003D54B1" w:rsidP="003D54B1" w:rsidRDefault="003D54B1" w14:paraId="1C8F74FA" w14:textId="77777777">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Mountain States Super Lawyers Rising Stars®, 2016-2021</w:t>
            </w:r>
          </w:p>
          <w:p w:rsidRPr="003D54B1" w:rsidR="003D54B1" w:rsidP="003D54B1" w:rsidRDefault="003D54B1" w14:paraId="39607597" w14:textId="46875244">
            <w:pPr>
              <w:pStyle w:val="BasicParagraph"/>
              <w:numPr>
                <w:ilvl w:val="0"/>
                <w:numId w:val="20"/>
              </w:numPr>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Nevada Justice Association Rising Star, 2019</w:t>
            </w:r>
          </w:p>
        </w:tc>
      </w:tr>
      <w:tr w:rsidR="003D54B1" w:rsidTr="4BBEE7CE" w14:paraId="5886B7A1" w14:textId="77777777">
        <w:trPr>
          <w:trHeight w:val="288"/>
        </w:trPr>
        <w:tc>
          <w:tcPr>
            <w:tcW w:w="10299" w:type="dxa"/>
            <w:tcMar/>
          </w:tcPr>
          <w:p w:rsidRPr="00A44AD9" w:rsidR="003D54B1" w:rsidP="00996259" w:rsidRDefault="003D54B1" w14:paraId="4ACA936E" w14:textId="77777777">
            <w:pPr>
              <w:pStyle w:val="BasicParagraph"/>
              <w:rPr>
                <w:rFonts w:ascii="Century Gothic Light" w:hAnsi="Century Gothic Light" w:cs="Century Gothic Light"/>
                <w:caps/>
                <w:color w:val="F5821F"/>
                <w:szCs w:val="32"/>
              </w:rPr>
            </w:pPr>
          </w:p>
        </w:tc>
      </w:tr>
      <w:tr w:rsidR="00B54DD9" w:rsidTr="4BBEE7CE" w14:paraId="3FC87D00" w14:textId="77777777">
        <w:trPr>
          <w:trHeight w:val="195"/>
        </w:trPr>
        <w:tc>
          <w:tcPr>
            <w:tcW w:w="10299" w:type="dxa"/>
            <w:tcMar/>
          </w:tcPr>
          <w:p w:rsidRPr="003D54B1" w:rsidR="00B54DD9" w:rsidP="003D54B1" w:rsidRDefault="00B54DD9" w14:paraId="76B7B8EB" w14:textId="3B024029">
            <w:pPr>
              <w:pStyle w:val="BasicParagraph"/>
              <w:rPr>
                <w:rFonts w:ascii="Century Gothic Light" w:hAnsi="Century Gothic Light" w:cs="Century Gothic Light"/>
                <w:caps/>
                <w:color w:val="F5821F"/>
                <w:sz w:val="28"/>
                <w:szCs w:val="32"/>
              </w:rPr>
            </w:pPr>
            <w:r w:rsidRPr="4BBEE7CE" w:rsidR="4BBEE7CE">
              <w:rPr>
                <w:rFonts w:ascii="Century Gothic Light" w:hAnsi="Century Gothic Light" w:cs="Century Gothic Light"/>
                <w:caps w:val="1"/>
                <w:color w:val="F5821F"/>
                <w:sz w:val="28"/>
                <w:szCs w:val="28"/>
              </w:rPr>
              <w:t>articles and presentations</w:t>
            </w:r>
          </w:p>
          <w:p w:rsidR="4BBEE7CE" w:rsidP="4BBEE7CE" w:rsidRDefault="4BBEE7CE" w14:paraId="07B9C33A" w14:textId="29F82E33">
            <w:pPr>
              <w:pStyle w:val="BasicParagraph"/>
              <w:numPr>
                <w:ilvl w:val="0"/>
                <w:numId w:val="20"/>
              </w:numPr>
              <w:rPr>
                <w:rFonts w:ascii="Century Gothic Light" w:hAnsi="Century Gothic Light" w:eastAsia="Century Gothic Light" w:cs="Century Gothic Light"/>
                <w:color w:val="002E6C"/>
                <w:sz w:val="22"/>
                <w:szCs w:val="22"/>
              </w:rPr>
            </w:pPr>
            <w:r w:rsidRPr="4BBEE7CE" w:rsidR="4BBEE7CE">
              <w:rPr>
                <w:rFonts w:ascii="Century Gothic Light" w:hAnsi="Century Gothic Light" w:eastAsia="Century Gothic Light" w:cs="Century Gothic Light"/>
                <w:color w:val="002E6C"/>
                <w:sz w:val="22"/>
                <w:szCs w:val="22"/>
              </w:rPr>
              <w:t>Author, "The Legacy of Justice James W. Hardesty," Nevada Lawyer, December 2022</w:t>
            </w:r>
          </w:p>
          <w:p w:rsidR="6AAC02E3" w:rsidP="6AAC02E3" w:rsidRDefault="6AAC02E3" w14:paraId="01E1E0CE" w14:textId="0B960495">
            <w:pPr>
              <w:pStyle w:val="BasicParagraph"/>
              <w:numPr>
                <w:ilvl w:val="0"/>
                <w:numId w:val="20"/>
              </w:numPr>
              <w:rPr>
                <w:rFonts w:ascii="Century Gothic Light" w:hAnsi="Century Gothic Light" w:eastAsia="Century Gothic Light" w:cs="Century Gothic Light"/>
                <w:color w:val="002F6C" w:themeColor="accent1" w:themeTint="FF" w:themeShade="FF"/>
                <w:sz w:val="22"/>
                <w:szCs w:val="22"/>
              </w:rPr>
            </w:pPr>
            <w:r w:rsidRPr="4BBEE7CE" w:rsidR="4BBEE7CE">
              <w:rPr>
                <w:rFonts w:ascii="Century Gothic Light" w:hAnsi="Century Gothic Light" w:cs="Century Gothic Light"/>
                <w:color w:val="09223F"/>
                <w:sz w:val="22"/>
                <w:szCs w:val="22"/>
              </w:rPr>
              <w:t>Interview, "Embrace the Chaos," Fennemore Blog, June 9, 2022</w:t>
            </w:r>
          </w:p>
          <w:p w:rsidRPr="003D54B1" w:rsidR="003D54B1" w:rsidP="003D54B1" w:rsidRDefault="003D54B1" w14:paraId="295DE1FD"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 xml:space="preserve">Featuring, "People: Therese Shanks, Geenamarie Carucci join Fennemore in Reno," </w:t>
            </w:r>
            <w:r w:rsidRPr="4BBEE7CE" w:rsidR="4BBEE7CE">
              <w:rPr>
                <w:rFonts w:ascii="Century Gothic Light" w:hAnsi="Century Gothic Light" w:cs="Century Gothic Light"/>
                <w:i w:val="1"/>
                <w:iCs w:val="1"/>
                <w:color w:val="09223F"/>
                <w:sz w:val="22"/>
                <w:szCs w:val="22"/>
              </w:rPr>
              <w:t>Northern Nevada Business Weekly</w:t>
            </w:r>
            <w:r w:rsidRPr="4BBEE7CE" w:rsidR="4BBEE7CE">
              <w:rPr>
                <w:rFonts w:ascii="Century Gothic Light" w:hAnsi="Century Gothic Light" w:cs="Century Gothic Light"/>
                <w:color w:val="09223F"/>
                <w:sz w:val="22"/>
                <w:szCs w:val="22"/>
              </w:rPr>
              <w:t>, November 11, 2021</w:t>
            </w:r>
          </w:p>
          <w:p w:rsidRPr="006314CF" w:rsidR="003D54B1" w:rsidP="003D54B1" w:rsidRDefault="003D54B1" w14:paraId="11B37AC2" w14:textId="77777777">
            <w:pPr>
              <w:pStyle w:val="BasicParagraph"/>
              <w:numPr>
                <w:ilvl w:val="0"/>
                <w:numId w:val="20"/>
              </w:numPr>
              <w:rPr>
                <w:rFonts w:ascii="Century Gothic Light" w:hAnsi="Century Gothic Light" w:cs="Century Gothic Light"/>
                <w:i/>
                <w:iCs/>
                <w:color w:val="09223F"/>
                <w:sz w:val="22"/>
                <w:szCs w:val="22"/>
              </w:rPr>
            </w:pPr>
            <w:r w:rsidRPr="4BBEE7CE" w:rsidR="4BBEE7CE">
              <w:rPr>
                <w:rFonts w:ascii="Century Gothic Light" w:hAnsi="Century Gothic Light" w:cs="Century Gothic Light"/>
                <w:color w:val="09223F"/>
                <w:sz w:val="22"/>
                <w:szCs w:val="22"/>
              </w:rPr>
              <w:t>Author, "The 'Muslim Ban'," </w:t>
            </w:r>
            <w:r w:rsidRPr="4BBEE7CE" w:rsidR="4BBEE7CE">
              <w:rPr>
                <w:rFonts w:ascii="Century Gothic Light" w:hAnsi="Century Gothic Light" w:cs="Century Gothic Light"/>
                <w:i w:val="1"/>
                <w:iCs w:val="1"/>
                <w:color w:val="09223F"/>
                <w:sz w:val="22"/>
                <w:szCs w:val="22"/>
              </w:rPr>
              <w:t>Washoe County Bar Association Writ</w:t>
            </w:r>
          </w:p>
          <w:p w:rsidRPr="003D54B1" w:rsidR="003D54B1" w:rsidP="003D54B1" w:rsidRDefault="003D54B1" w14:paraId="2D7921C5"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 xml:space="preserve">Author, "The 'Not-A-Muslim Ban,'” </w:t>
            </w:r>
            <w:r w:rsidRPr="4BBEE7CE" w:rsidR="4BBEE7CE">
              <w:rPr>
                <w:rFonts w:ascii="Century Gothic Light" w:hAnsi="Century Gothic Light" w:cs="Century Gothic Light"/>
                <w:i w:val="1"/>
                <w:iCs w:val="1"/>
                <w:color w:val="09223F"/>
                <w:sz w:val="22"/>
                <w:szCs w:val="22"/>
              </w:rPr>
              <w:t>Washoe County Bar Association Writ</w:t>
            </w:r>
          </w:p>
          <w:p w:rsidRPr="003D54B1" w:rsidR="003D54B1" w:rsidP="003D54B1" w:rsidRDefault="003D54B1" w14:paraId="1B114C60"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Author, "The Nevada Supreme Court is Not Writs-R-US," </w:t>
            </w:r>
            <w:r w:rsidRPr="4BBEE7CE" w:rsidR="4BBEE7CE">
              <w:rPr>
                <w:rFonts w:ascii="Century Gothic Light" w:hAnsi="Century Gothic Light" w:cs="Century Gothic Light"/>
                <w:i w:val="1"/>
                <w:iCs w:val="1"/>
                <w:color w:val="09223F"/>
                <w:sz w:val="22"/>
                <w:szCs w:val="22"/>
              </w:rPr>
              <w:t>The Advocate</w:t>
            </w:r>
          </w:p>
          <w:p w:rsidRPr="003D54B1" w:rsidR="003D54B1" w:rsidP="003D54B1" w:rsidRDefault="003D54B1" w14:paraId="01ABAF22"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Author, "Have Some Standards (of Review)," </w:t>
            </w:r>
            <w:r w:rsidRPr="4BBEE7CE" w:rsidR="4BBEE7CE">
              <w:rPr>
                <w:rFonts w:ascii="Century Gothic Light" w:hAnsi="Century Gothic Light" w:cs="Century Gothic Light"/>
                <w:i w:val="1"/>
                <w:iCs w:val="1"/>
                <w:color w:val="09223F"/>
                <w:sz w:val="22"/>
                <w:szCs w:val="22"/>
              </w:rPr>
              <w:t>The Advocate</w:t>
            </w:r>
          </w:p>
          <w:p w:rsidRPr="003D54B1" w:rsidR="003D54B1" w:rsidP="003D54B1" w:rsidRDefault="003D54B1" w14:paraId="326A5DEE"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Author, "Protecting Your Pocket: Attorney Fees and Costs on Appeal," </w:t>
            </w:r>
            <w:r w:rsidRPr="4BBEE7CE" w:rsidR="4BBEE7CE">
              <w:rPr>
                <w:rFonts w:ascii="Century Gothic Light" w:hAnsi="Century Gothic Light" w:cs="Century Gothic Light"/>
                <w:i w:val="1"/>
                <w:iCs w:val="1"/>
                <w:color w:val="09223F"/>
                <w:sz w:val="22"/>
                <w:szCs w:val="22"/>
              </w:rPr>
              <w:t>The Advocate</w:t>
            </w:r>
          </w:p>
          <w:p w:rsidRPr="003D54B1" w:rsidR="003D54B1" w:rsidP="003D54B1" w:rsidRDefault="003D54B1" w14:paraId="35A23E3E"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 xml:space="preserve">Author, "Timeline to litigate on Remand," </w:t>
            </w:r>
            <w:r w:rsidRPr="4BBEE7CE" w:rsidR="4BBEE7CE">
              <w:rPr>
                <w:rFonts w:ascii="Century Gothic Light" w:hAnsi="Century Gothic Light" w:cs="Century Gothic Light"/>
                <w:i w:val="1"/>
                <w:iCs w:val="1"/>
                <w:color w:val="09223F"/>
                <w:sz w:val="22"/>
                <w:szCs w:val="22"/>
              </w:rPr>
              <w:t>The Advocate</w:t>
            </w:r>
          </w:p>
          <w:p w:rsidRPr="003D54B1" w:rsidR="003D54B1" w:rsidP="003D54B1" w:rsidRDefault="003D54B1" w14:paraId="2C3AA5A5"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Author, "Viva Las Vegas: Restraining Media Coverage of the Las Vegas Shooting," </w:t>
            </w:r>
            <w:r w:rsidRPr="4BBEE7CE" w:rsidR="4BBEE7CE">
              <w:rPr>
                <w:rFonts w:ascii="Century Gothic Light" w:hAnsi="Century Gothic Light" w:cs="Century Gothic Light"/>
                <w:i w:val="1"/>
                <w:iCs w:val="1"/>
                <w:color w:val="09223F"/>
                <w:sz w:val="22"/>
                <w:szCs w:val="22"/>
              </w:rPr>
              <w:t>Nevada Lawyer</w:t>
            </w:r>
            <w:r w:rsidRPr="4BBEE7CE" w:rsidR="4BBEE7CE">
              <w:rPr>
                <w:rFonts w:ascii="Century Gothic Light" w:hAnsi="Century Gothic Light" w:cs="Century Gothic Light"/>
                <w:color w:val="09223F"/>
                <w:sz w:val="22"/>
                <w:szCs w:val="22"/>
              </w:rPr>
              <w:t>, November 3, 2018</w:t>
            </w:r>
          </w:p>
          <w:p w:rsidRPr="003D54B1" w:rsidR="003D54B1" w:rsidP="003D54B1" w:rsidRDefault="003D54B1" w14:paraId="60F16B9A"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Author, "Before Death Do We Part: The Constitutionality of Revocation on Divorce Statutes," </w:t>
            </w:r>
            <w:r w:rsidRPr="4BBEE7CE" w:rsidR="4BBEE7CE">
              <w:rPr>
                <w:rFonts w:ascii="Century Gothic Light" w:hAnsi="Century Gothic Light" w:cs="Century Gothic Light"/>
                <w:i w:val="1"/>
                <w:iCs w:val="1"/>
                <w:color w:val="09223F"/>
                <w:sz w:val="22"/>
                <w:szCs w:val="22"/>
              </w:rPr>
              <w:t>Nevada State Bar Family Law Review</w:t>
            </w:r>
          </w:p>
          <w:p w:rsidRPr="003D54B1" w:rsidR="003D54B1" w:rsidP="003D54B1" w:rsidRDefault="003D54B1" w14:paraId="28B9E9C9"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Author, "The Kogod Affair(s)," </w:t>
            </w:r>
            <w:r w:rsidRPr="4BBEE7CE" w:rsidR="4BBEE7CE">
              <w:rPr>
                <w:rFonts w:ascii="Century Gothic Light" w:hAnsi="Century Gothic Light" w:cs="Century Gothic Light"/>
                <w:i w:val="1"/>
                <w:iCs w:val="1"/>
                <w:color w:val="09223F"/>
                <w:sz w:val="22"/>
                <w:szCs w:val="22"/>
              </w:rPr>
              <w:t>Nevada State Bar Family Law Review</w:t>
            </w:r>
          </w:p>
          <w:p w:rsidRPr="003D54B1" w:rsidR="003D54B1" w:rsidP="006314CF" w:rsidRDefault="003D54B1" w14:paraId="7C2EF198" w14:textId="4F3C7E0C">
            <w:pPr>
              <w:pStyle w:val="BasicParagraph"/>
              <w:ind w:left="720"/>
              <w:rPr>
                <w:rFonts w:ascii="Century Gothic Light" w:hAnsi="Century Gothic Light" w:cs="Century Gothic Light"/>
                <w:color w:val="09223F"/>
                <w:sz w:val="22"/>
                <w:szCs w:val="22"/>
              </w:rPr>
            </w:pPr>
          </w:p>
          <w:p w:rsidRPr="003D54B1" w:rsidR="003D54B1" w:rsidP="006314CF" w:rsidRDefault="003D54B1" w14:paraId="3D2C9377" w14:textId="5F1CC8DA">
            <w:pPr>
              <w:pStyle w:val="BasicParagraph"/>
              <w:rPr>
                <w:rFonts w:ascii="Century Gothic Light" w:hAnsi="Century Gothic Light" w:cs="Century Gothic Light"/>
                <w:color w:val="09223F"/>
                <w:sz w:val="22"/>
                <w:szCs w:val="22"/>
              </w:rPr>
            </w:pPr>
            <w:r w:rsidRPr="003D54B1">
              <w:rPr>
                <w:rFonts w:ascii="Century Gothic Light" w:hAnsi="Century Gothic Light" w:cs="Century Gothic Light"/>
                <w:color w:val="09223F"/>
                <w:sz w:val="22"/>
                <w:szCs w:val="22"/>
              </w:rPr>
              <w:t>PUBLISHED OPINIONS</w:t>
            </w:r>
          </w:p>
          <w:p w:rsidRPr="003D54B1" w:rsidR="003D54B1" w:rsidP="003D54B1" w:rsidRDefault="003D54B1" w14:paraId="72221DC9"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Abarra</w:t>
            </w:r>
            <w:r w:rsidRPr="4BBEE7CE" w:rsidR="4BBEE7CE">
              <w:rPr>
                <w:rFonts w:ascii="Century Gothic Light" w:hAnsi="Century Gothic Light" w:cs="Century Gothic Light"/>
                <w:color w:val="09223F"/>
                <w:sz w:val="22"/>
                <w:szCs w:val="22"/>
              </w:rPr>
              <w:t xml:space="preserve"> v. State of Nevada, 131 Nev. 20, 342 P.3d 994 (Nev. 2015)</w:t>
            </w:r>
          </w:p>
          <w:p w:rsidRPr="003D54B1" w:rsidR="003D54B1" w:rsidP="003D54B1" w:rsidRDefault="003D54B1" w14:paraId="21DD94E4"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MEI-</w:t>
            </w:r>
            <w:r w:rsidRPr="4BBEE7CE" w:rsidR="4BBEE7CE">
              <w:rPr>
                <w:rFonts w:ascii="Century Gothic Light" w:hAnsi="Century Gothic Light" w:cs="Century Gothic Light"/>
                <w:color w:val="09223F"/>
                <w:sz w:val="22"/>
                <w:szCs w:val="22"/>
              </w:rPr>
              <w:t>GSR</w:t>
            </w:r>
            <w:r w:rsidRPr="4BBEE7CE" w:rsidR="4BBEE7CE">
              <w:rPr>
                <w:rFonts w:ascii="Century Gothic Light" w:hAnsi="Century Gothic Light" w:cs="Century Gothic Light"/>
                <w:color w:val="09223F"/>
                <w:sz w:val="22"/>
                <w:szCs w:val="22"/>
              </w:rPr>
              <w:t xml:space="preserve"> Holdings, LLC v. Peppermill Casinos, Inc., 134 Nev. 235, 416 P.3d 249 (Nev. 2018)</w:t>
            </w:r>
          </w:p>
          <w:p w:rsidRPr="003D54B1" w:rsidR="003D54B1" w:rsidP="003D54B1" w:rsidRDefault="003D54B1" w14:paraId="4CA5C5D2"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Sarfo v. Nevada, State Board of Medical Examiners,134 Nev. 709, 429 P.3d 650 (Nev. 2018)</w:t>
            </w:r>
          </w:p>
          <w:p w:rsidRPr="003D54B1" w:rsidR="003D54B1" w:rsidP="003D54B1" w:rsidRDefault="003D54B1" w14:paraId="0EA2DEB6"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Pascua v. Bayview Loan Serv., LLC, 135 Nev. 29, 434 P.3d 287 (Nev. 2019)</w:t>
            </w:r>
          </w:p>
          <w:p w:rsidRPr="003D54B1" w:rsidR="003D54B1" w:rsidP="003D54B1" w:rsidRDefault="003D54B1" w14:paraId="1946A24B" w14:textId="77777777">
            <w:pPr>
              <w:pStyle w:val="BasicParagraph"/>
              <w:numPr>
                <w:ilvl w:val="0"/>
                <w:numId w:val="20"/>
              </w:numPr>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Miller v. C.H. Robinson Worldwide, Inc., 976 F.3d 1016 (9th Cir. 2020)</w:t>
            </w:r>
          </w:p>
          <w:p w:rsidRPr="00B54DD9" w:rsidR="00B54DD9" w:rsidP="003D54B1" w:rsidRDefault="003D54B1" w14:paraId="48E6228E" w14:textId="45CCD73C">
            <w:pPr>
              <w:pStyle w:val="BasicParagraph"/>
              <w:numPr>
                <w:ilvl w:val="0"/>
                <w:numId w:val="20"/>
              </w:numPr>
              <w:suppressAutoHyphens/>
              <w:spacing w:line="240" w:lineRule="auto"/>
              <w:rPr>
                <w:rFonts w:ascii="Century Gothic Light" w:hAnsi="Century Gothic Light" w:cs="Century Gothic Light"/>
                <w:color w:val="09223F"/>
                <w:sz w:val="22"/>
                <w:szCs w:val="22"/>
              </w:rPr>
            </w:pPr>
            <w:r w:rsidRPr="4BBEE7CE" w:rsidR="4BBEE7CE">
              <w:rPr>
                <w:rFonts w:ascii="Century Gothic Light" w:hAnsi="Century Gothic Light" w:cs="Century Gothic Light"/>
                <w:color w:val="09223F"/>
                <w:sz w:val="22"/>
                <w:szCs w:val="22"/>
              </w:rPr>
              <w:t>Schueler</w:t>
            </w:r>
            <w:r w:rsidRPr="4BBEE7CE" w:rsidR="4BBEE7CE">
              <w:rPr>
                <w:rFonts w:ascii="Century Gothic Light" w:hAnsi="Century Gothic Light" w:cs="Century Gothic Light"/>
                <w:color w:val="09223F"/>
                <w:sz w:val="22"/>
                <w:szCs w:val="22"/>
              </w:rPr>
              <w:t xml:space="preserve"> v. Ad Art, Inc., 136 Nev., Adv. Op. 52, 472 P.3d 686 (Nev. App. 2020)</w:t>
            </w:r>
          </w:p>
        </w:tc>
      </w:tr>
      <w:tr w:rsidR="00B54DD9" w:rsidTr="4BBEE7CE" w14:paraId="53696887" w14:textId="77777777">
        <w:trPr>
          <w:trHeight w:val="195"/>
        </w:trPr>
        <w:tc>
          <w:tcPr>
            <w:tcW w:w="10299" w:type="dxa"/>
            <w:tcMar/>
          </w:tcPr>
          <w:p w:rsidRPr="00996259" w:rsidR="00B54DD9" w:rsidP="00996259" w:rsidRDefault="00B54DD9" w14:paraId="12409A3A" w14:textId="77777777">
            <w:pPr>
              <w:pStyle w:val="BasicParagraph"/>
              <w:rPr>
                <w:rFonts w:ascii="Century Gothic Light" w:hAnsi="Century Gothic Light" w:cs="Century Gothic Light"/>
                <w:caps/>
                <w:color w:val="F5821F"/>
                <w:sz w:val="28"/>
                <w:szCs w:val="32"/>
              </w:rPr>
            </w:pPr>
          </w:p>
        </w:tc>
      </w:tr>
      <w:tr w:rsidR="006314CF" w:rsidTr="4BBEE7CE" w14:paraId="2B732BD3" w14:textId="77777777">
        <w:trPr>
          <w:trHeight w:val="195"/>
        </w:trPr>
        <w:tc>
          <w:tcPr>
            <w:tcW w:w="10299" w:type="dxa"/>
            <w:tcMar/>
          </w:tcPr>
          <w:p w:rsidRPr="006314CF" w:rsidR="006314CF" w:rsidP="006314CF" w:rsidRDefault="006314CF" w14:paraId="0631231B" w14:textId="77777777">
            <w:pPr>
              <w:pStyle w:val="BasicParagraph"/>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aps/>
                <w:color w:val="F5821F"/>
                <w:sz w:val="28"/>
                <w:szCs w:val="32"/>
              </w:rPr>
              <w:t>Professional and community activities</w:t>
            </w:r>
            <w:r w:rsidRPr="006314CF">
              <w:rPr>
                <w:rFonts w:ascii="Century Gothic Light" w:hAnsi="Century Gothic Light" w:cs="Century Gothic Light"/>
                <w:caps/>
                <w:color w:val="F5821F"/>
                <w:sz w:val="28"/>
                <w:szCs w:val="32"/>
              </w:rPr>
              <w:t xml:space="preserve"> </w:t>
            </w:r>
          </w:p>
          <w:p w:rsidRPr="006314CF" w:rsidR="006314CF" w:rsidP="006314CF" w:rsidRDefault="006314CF" w14:paraId="2518D9F4"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Washoe County Bar Association Board Member, Treasurer</w:t>
            </w:r>
          </w:p>
          <w:p w:rsidRPr="006314CF" w:rsidR="006314CF" w:rsidP="006314CF" w:rsidRDefault="006314CF" w14:paraId="456E210F"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Committee Member at Large, Appellate Section, Nevada State Bar</w:t>
            </w:r>
          </w:p>
          <w:p w:rsidRPr="006314CF" w:rsidR="006314CF" w:rsidP="006314CF" w:rsidRDefault="006314CF" w14:paraId="2CF717D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Nevada Justice Association Amicus Committee, 2019-present</w:t>
            </w:r>
          </w:p>
          <w:p w:rsidRPr="006314CF" w:rsidR="006314CF" w:rsidP="006314CF" w:rsidRDefault="006314CF" w14:paraId="1E5B43D7"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Nevada Justice Association Club X Committee Member, 2019</w:t>
            </w:r>
          </w:p>
          <w:p w:rsidRPr="006314CF" w:rsidR="006314CF" w:rsidP="006314CF" w:rsidRDefault="006314CF" w14:paraId="2E465EAE"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Nevada Justice Association Women’s Caucus, 2019</w:t>
            </w:r>
          </w:p>
          <w:p w:rsidRPr="006314CF" w:rsidR="006314CF" w:rsidP="006314CF" w:rsidRDefault="006314CF" w14:paraId="5CAB0F4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National Association Women Lawyers</w:t>
            </w:r>
          </w:p>
          <w:p w:rsidRPr="006314CF" w:rsidR="006314CF" w:rsidP="006314CF" w:rsidRDefault="006314CF" w14:paraId="2976F1D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Northern Nevada Women Lawyers</w:t>
            </w:r>
          </w:p>
          <w:p w:rsidRPr="006314CF" w:rsidR="006314CF" w:rsidP="006314CF" w:rsidRDefault="006314CF" w14:paraId="53296C8C"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Northern Nevada Women’s Mentoring Circle, 2012-2014</w:t>
            </w:r>
          </w:p>
          <w:p w:rsidRPr="006314CF" w:rsidR="006314CF" w:rsidP="006314CF" w:rsidRDefault="006314CF" w14:paraId="773618B6"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American Inns of Court, Bruce R. Thompson Chapter, 2012-present</w:t>
            </w:r>
          </w:p>
          <w:p w:rsidRPr="006314CF" w:rsidR="006314CF" w:rsidP="006314CF" w:rsidRDefault="006314CF" w14:paraId="6801E320" w14:textId="715F06DC">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Legal Aid Center of Southern Nevada Pro Bono Project, 50 Hours Club 2014, 2016, 2018, 2020</w:t>
            </w:r>
          </w:p>
        </w:tc>
      </w:tr>
      <w:tr w:rsidR="006314CF" w:rsidTr="4BBEE7CE" w14:paraId="316FB285" w14:textId="77777777">
        <w:trPr>
          <w:trHeight w:val="195"/>
        </w:trPr>
        <w:tc>
          <w:tcPr>
            <w:tcW w:w="10299" w:type="dxa"/>
            <w:tcMar/>
          </w:tcPr>
          <w:p w:rsidRPr="00996259" w:rsidR="006314CF" w:rsidP="00996259" w:rsidRDefault="006314CF" w14:paraId="1B2339DE" w14:textId="77777777">
            <w:pPr>
              <w:pStyle w:val="BasicParagraph"/>
              <w:rPr>
                <w:rFonts w:ascii="Century Gothic Light" w:hAnsi="Century Gothic Light" w:cs="Century Gothic Light"/>
                <w:caps/>
                <w:color w:val="F5821F"/>
                <w:sz w:val="28"/>
                <w:szCs w:val="32"/>
              </w:rPr>
            </w:pPr>
          </w:p>
        </w:tc>
      </w:tr>
      <w:tr w:rsidR="00996259" w:rsidTr="4BBEE7CE" w14:paraId="37A27DBA" w14:textId="77777777">
        <w:trPr>
          <w:trHeight w:val="195"/>
        </w:trPr>
        <w:tc>
          <w:tcPr>
            <w:tcW w:w="10299" w:type="dxa"/>
            <w:tcMar/>
          </w:tcPr>
          <w:p w:rsidRPr="00996259" w:rsidR="00996259" w:rsidP="00996259" w:rsidRDefault="00996259" w14:paraId="0239EEB1"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admissions</w:t>
            </w:r>
          </w:p>
          <w:p w:rsidRPr="006314CF" w:rsidR="006314CF" w:rsidP="006314CF" w:rsidRDefault="006314CF" w14:paraId="3F626BA3"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Nevada</w:t>
            </w:r>
          </w:p>
          <w:p w:rsidRPr="006314CF" w:rsidR="006314CF" w:rsidP="006314CF" w:rsidRDefault="006314CF" w14:paraId="3DC8353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U.S. District Court District of Nevada</w:t>
            </w:r>
          </w:p>
          <w:p w:rsidRPr="006314CF" w:rsidR="006314CF" w:rsidP="006314CF" w:rsidRDefault="006314CF" w14:paraId="44AD5EA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U.S. Court of Appeals Ninth Circuit</w:t>
            </w:r>
          </w:p>
          <w:p w:rsidRPr="00D3611B" w:rsidR="005501CE" w:rsidP="006314CF" w:rsidRDefault="006314CF" w14:paraId="044073AE" w14:textId="4A1451C8">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6314CF">
              <w:rPr>
                <w:rFonts w:ascii="Century Gothic Light" w:hAnsi="Century Gothic Light" w:cs="Century Gothic Light"/>
                <w:color w:val="09223F"/>
                <w:sz w:val="22"/>
                <w:szCs w:val="22"/>
              </w:rPr>
              <w:t>U.S. Supreme Court</w:t>
            </w:r>
          </w:p>
        </w:tc>
      </w:tr>
    </w:tbl>
    <w:p w:rsidR="008700A0" w:rsidP="008700A0" w:rsidRDefault="008700A0" w14:paraId="6FBE2627" w14:textId="77777777"/>
    <w:sectPr w:rsidR="008700A0" w:rsidSect="00FB06C0">
      <w:headerReference w:type="default" r:id="rId7"/>
      <w:headerReference w:type="first" r:id="rId8"/>
      <w:pgSz w:w="12240" w:h="15840" w:orient="portrait"/>
      <w:pgMar w:top="720" w:right="720" w:bottom="100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503E" w:rsidP="008700A0" w:rsidRDefault="0027503E" w14:paraId="6799A2BD" w14:textId="77777777">
      <w:pPr>
        <w:spacing w:after="0" w:line="240" w:lineRule="auto"/>
      </w:pPr>
      <w:r>
        <w:separator/>
      </w:r>
    </w:p>
  </w:endnote>
  <w:endnote w:type="continuationSeparator" w:id="0">
    <w:p w:rsidR="0027503E" w:rsidP="008700A0" w:rsidRDefault="0027503E" w14:paraId="3938BE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Light">
    <w:panose1 w:val="020B0302020202020204"/>
    <w:charset w:val="00"/>
    <w:family w:val="swiss"/>
    <w:notTrueType/>
    <w:pitch w:val="variable"/>
    <w:sig w:usb0="A00002FF" w:usb1="4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503E" w:rsidP="008700A0" w:rsidRDefault="0027503E" w14:paraId="24963EC2" w14:textId="77777777">
      <w:pPr>
        <w:spacing w:after="0" w:line="240" w:lineRule="auto"/>
      </w:pPr>
      <w:r>
        <w:separator/>
      </w:r>
    </w:p>
  </w:footnote>
  <w:footnote w:type="continuationSeparator" w:id="0">
    <w:p w:rsidR="0027503E" w:rsidP="008700A0" w:rsidRDefault="0027503E" w14:paraId="15DCAF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00A0" w:rsidRDefault="008700A0" w14:paraId="66F89623" w14:textId="77777777">
    <w:pPr>
      <w:pStyle w:val="Header"/>
    </w:pPr>
    <w:r>
      <w:rPr>
        <w:noProof/>
      </w:rPr>
      <w:drawing>
        <wp:anchor distT="0" distB="0" distL="114300" distR="114300" simplePos="0" relativeHeight="251659264" behindDoc="1" locked="0" layoutInCell="1" allowOverlap="1" wp14:anchorId="575A1DE1" wp14:editId="3B233E9F">
          <wp:simplePos x="0" y="0"/>
          <wp:positionH relativeFrom="margin">
            <wp:posOffset>-457200</wp:posOffset>
          </wp:positionH>
          <wp:positionV relativeFrom="margin">
            <wp:posOffset>-467360</wp:posOffset>
          </wp:positionV>
          <wp:extent cx="7772337" cy="10058319"/>
          <wp:effectExtent l="0" t="0" r="63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BDO_AMY2.png"/>
                  <pic:cNvPicPr/>
                </pic:nvPicPr>
                <pic:blipFill>
                  <a:blip r:embed="rId1">
                    <a:extLst>
                      <a:ext uri="{28A0092B-C50C-407E-A947-70E740481C1C}">
                        <a14:useLocalDpi xmlns:a14="http://schemas.microsoft.com/office/drawing/2010/main" val="0"/>
                      </a:ext>
                    </a:extLst>
                  </a:blip>
                  <a:stretch>
                    <a:fillRect/>
                  </a:stretch>
                </pic:blipFill>
                <pic:spPr>
                  <a:xfrm>
                    <a:off x="0" y="0"/>
                    <a:ext cx="7772337" cy="100583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00A0" w:rsidRDefault="008700A0" w14:paraId="6A6734CC" w14:textId="77777777">
    <w:pPr>
      <w:pStyle w:val="Header"/>
    </w:pPr>
    <w:r>
      <w:rPr>
        <w:noProof/>
      </w:rPr>
      <w:drawing>
        <wp:anchor distT="0" distB="0" distL="114300" distR="114300" simplePos="0" relativeHeight="251658240" behindDoc="1" locked="0" layoutInCell="1" allowOverlap="1" wp14:anchorId="26867CE0" wp14:editId="477BE5AD">
          <wp:simplePos x="0" y="0"/>
          <wp:positionH relativeFrom="margin">
            <wp:posOffset>-457200</wp:posOffset>
          </wp:positionH>
          <wp:positionV relativeFrom="margin">
            <wp:posOffset>-461137</wp:posOffset>
          </wp:positionV>
          <wp:extent cx="7772359" cy="10052250"/>
          <wp:effectExtent l="0" t="0" r="635"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72359" cy="10052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77F5"/>
    <w:multiLevelType w:val="multilevel"/>
    <w:tmpl w:val="867A5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41806F3"/>
    <w:multiLevelType w:val="hybridMultilevel"/>
    <w:tmpl w:val="6EDC8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070967"/>
    <w:multiLevelType w:val="hybridMultilevel"/>
    <w:tmpl w:val="D99CD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D30ADE"/>
    <w:multiLevelType w:val="multilevel"/>
    <w:tmpl w:val="37BEF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6F22FA"/>
    <w:multiLevelType w:val="hybridMultilevel"/>
    <w:tmpl w:val="162CD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587FDD"/>
    <w:multiLevelType w:val="multilevel"/>
    <w:tmpl w:val="06761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8D10C05"/>
    <w:multiLevelType w:val="multilevel"/>
    <w:tmpl w:val="94AC0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43C0FEB"/>
    <w:multiLevelType w:val="multilevel"/>
    <w:tmpl w:val="A0EE3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5EF590F"/>
    <w:multiLevelType w:val="multilevel"/>
    <w:tmpl w:val="DA64E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86366AB"/>
    <w:multiLevelType w:val="multilevel"/>
    <w:tmpl w:val="10DAC3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7414EC7"/>
    <w:multiLevelType w:val="multilevel"/>
    <w:tmpl w:val="E3827B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F5C3957"/>
    <w:multiLevelType w:val="multilevel"/>
    <w:tmpl w:val="03E01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30D63C0"/>
    <w:multiLevelType w:val="hybridMultilevel"/>
    <w:tmpl w:val="F15271C0"/>
    <w:lvl w:ilvl="0" w:tplc="04090001">
      <w:start w:val="1"/>
      <w:numFmt w:val="bullet"/>
      <w:lvlText w:val=""/>
      <w:lvlJc w:val="left"/>
      <w:pPr>
        <w:ind w:left="920" w:hanging="360"/>
      </w:pPr>
      <w:rPr>
        <w:rFonts w:hint="default" w:ascii="Symbol" w:hAnsi="Symbol"/>
      </w:rPr>
    </w:lvl>
    <w:lvl w:ilvl="1" w:tplc="04090003" w:tentative="1">
      <w:start w:val="1"/>
      <w:numFmt w:val="bullet"/>
      <w:lvlText w:val="o"/>
      <w:lvlJc w:val="left"/>
      <w:pPr>
        <w:ind w:left="1640" w:hanging="360"/>
      </w:pPr>
      <w:rPr>
        <w:rFonts w:hint="default" w:ascii="Courier New" w:hAnsi="Courier New" w:cs="Courier New"/>
      </w:rPr>
    </w:lvl>
    <w:lvl w:ilvl="2" w:tplc="04090005" w:tentative="1">
      <w:start w:val="1"/>
      <w:numFmt w:val="bullet"/>
      <w:lvlText w:val=""/>
      <w:lvlJc w:val="left"/>
      <w:pPr>
        <w:ind w:left="2360" w:hanging="360"/>
      </w:pPr>
      <w:rPr>
        <w:rFonts w:hint="default" w:ascii="Wingdings" w:hAnsi="Wingdings"/>
      </w:rPr>
    </w:lvl>
    <w:lvl w:ilvl="3" w:tplc="04090001" w:tentative="1">
      <w:start w:val="1"/>
      <w:numFmt w:val="bullet"/>
      <w:lvlText w:val=""/>
      <w:lvlJc w:val="left"/>
      <w:pPr>
        <w:ind w:left="3080" w:hanging="360"/>
      </w:pPr>
      <w:rPr>
        <w:rFonts w:hint="default" w:ascii="Symbol" w:hAnsi="Symbol"/>
      </w:rPr>
    </w:lvl>
    <w:lvl w:ilvl="4" w:tplc="04090003" w:tentative="1">
      <w:start w:val="1"/>
      <w:numFmt w:val="bullet"/>
      <w:lvlText w:val="o"/>
      <w:lvlJc w:val="left"/>
      <w:pPr>
        <w:ind w:left="3800" w:hanging="360"/>
      </w:pPr>
      <w:rPr>
        <w:rFonts w:hint="default" w:ascii="Courier New" w:hAnsi="Courier New" w:cs="Courier New"/>
      </w:rPr>
    </w:lvl>
    <w:lvl w:ilvl="5" w:tplc="04090005" w:tentative="1">
      <w:start w:val="1"/>
      <w:numFmt w:val="bullet"/>
      <w:lvlText w:val=""/>
      <w:lvlJc w:val="left"/>
      <w:pPr>
        <w:ind w:left="4520" w:hanging="360"/>
      </w:pPr>
      <w:rPr>
        <w:rFonts w:hint="default" w:ascii="Wingdings" w:hAnsi="Wingdings"/>
      </w:rPr>
    </w:lvl>
    <w:lvl w:ilvl="6" w:tplc="04090001" w:tentative="1">
      <w:start w:val="1"/>
      <w:numFmt w:val="bullet"/>
      <w:lvlText w:val=""/>
      <w:lvlJc w:val="left"/>
      <w:pPr>
        <w:ind w:left="5240" w:hanging="360"/>
      </w:pPr>
      <w:rPr>
        <w:rFonts w:hint="default" w:ascii="Symbol" w:hAnsi="Symbol"/>
      </w:rPr>
    </w:lvl>
    <w:lvl w:ilvl="7" w:tplc="04090003" w:tentative="1">
      <w:start w:val="1"/>
      <w:numFmt w:val="bullet"/>
      <w:lvlText w:val="o"/>
      <w:lvlJc w:val="left"/>
      <w:pPr>
        <w:ind w:left="5960" w:hanging="360"/>
      </w:pPr>
      <w:rPr>
        <w:rFonts w:hint="default" w:ascii="Courier New" w:hAnsi="Courier New" w:cs="Courier New"/>
      </w:rPr>
    </w:lvl>
    <w:lvl w:ilvl="8" w:tplc="04090005" w:tentative="1">
      <w:start w:val="1"/>
      <w:numFmt w:val="bullet"/>
      <w:lvlText w:val=""/>
      <w:lvlJc w:val="left"/>
      <w:pPr>
        <w:ind w:left="6680" w:hanging="360"/>
      </w:pPr>
      <w:rPr>
        <w:rFonts w:hint="default" w:ascii="Wingdings" w:hAnsi="Wingdings"/>
      </w:rPr>
    </w:lvl>
  </w:abstractNum>
  <w:abstractNum w:abstractNumId="13" w15:restartNumberingAfterBreak="0">
    <w:nsid w:val="56792F5D"/>
    <w:multiLevelType w:val="multilevel"/>
    <w:tmpl w:val="A4BEA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7437553"/>
    <w:multiLevelType w:val="multilevel"/>
    <w:tmpl w:val="72209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8D47CE0"/>
    <w:multiLevelType w:val="multilevel"/>
    <w:tmpl w:val="D7D80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EAE4FFE"/>
    <w:multiLevelType w:val="hybridMultilevel"/>
    <w:tmpl w:val="A8B247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00B14CF"/>
    <w:multiLevelType w:val="hybridMultilevel"/>
    <w:tmpl w:val="E2BAB8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55B75DF"/>
    <w:multiLevelType w:val="multilevel"/>
    <w:tmpl w:val="99001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8134E01"/>
    <w:multiLevelType w:val="multilevel"/>
    <w:tmpl w:val="9CCCE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6"/>
  </w:num>
  <w:num w:numId="2">
    <w:abstractNumId w:val="4"/>
  </w:num>
  <w:num w:numId="3">
    <w:abstractNumId w:val="12"/>
  </w:num>
  <w:num w:numId="4">
    <w:abstractNumId w:val="2"/>
  </w:num>
  <w:num w:numId="5">
    <w:abstractNumId w:val="3"/>
  </w:num>
  <w:num w:numId="6">
    <w:abstractNumId w:val="14"/>
  </w:num>
  <w:num w:numId="7">
    <w:abstractNumId w:val="13"/>
  </w:num>
  <w:num w:numId="8">
    <w:abstractNumId w:val="11"/>
  </w:num>
  <w:num w:numId="9">
    <w:abstractNumId w:val="5"/>
  </w:num>
  <w:num w:numId="10">
    <w:abstractNumId w:val="7"/>
  </w:num>
  <w:num w:numId="11">
    <w:abstractNumId w:val="15"/>
  </w:num>
  <w:num w:numId="12">
    <w:abstractNumId w:val="6"/>
  </w:num>
  <w:num w:numId="13">
    <w:abstractNumId w:val="0"/>
  </w:num>
  <w:num w:numId="14">
    <w:abstractNumId w:val="18"/>
  </w:num>
  <w:num w:numId="15">
    <w:abstractNumId w:val="19"/>
  </w:num>
  <w:num w:numId="16">
    <w:abstractNumId w:val="8"/>
  </w:num>
  <w:num w:numId="17">
    <w:abstractNumId w:val="10"/>
  </w:num>
  <w:num w:numId="18">
    <w:abstractNumId w:val="9"/>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A0"/>
    <w:rsid w:val="00047EFC"/>
    <w:rsid w:val="000B29E6"/>
    <w:rsid w:val="000B4E5D"/>
    <w:rsid w:val="001138EA"/>
    <w:rsid w:val="002548B5"/>
    <w:rsid w:val="00266E0F"/>
    <w:rsid w:val="0027503E"/>
    <w:rsid w:val="002A6BBF"/>
    <w:rsid w:val="002C77E9"/>
    <w:rsid w:val="00312CFC"/>
    <w:rsid w:val="00387954"/>
    <w:rsid w:val="003D54B1"/>
    <w:rsid w:val="003E5E6E"/>
    <w:rsid w:val="0042577A"/>
    <w:rsid w:val="004C1361"/>
    <w:rsid w:val="005501CE"/>
    <w:rsid w:val="00570182"/>
    <w:rsid w:val="00573212"/>
    <w:rsid w:val="00590A25"/>
    <w:rsid w:val="005F080B"/>
    <w:rsid w:val="00617B93"/>
    <w:rsid w:val="006314CF"/>
    <w:rsid w:val="0065323C"/>
    <w:rsid w:val="00706F78"/>
    <w:rsid w:val="007C67A8"/>
    <w:rsid w:val="007F5739"/>
    <w:rsid w:val="00816FD5"/>
    <w:rsid w:val="00857A84"/>
    <w:rsid w:val="008700A0"/>
    <w:rsid w:val="00894F4D"/>
    <w:rsid w:val="008F500B"/>
    <w:rsid w:val="008F5DD7"/>
    <w:rsid w:val="009067C3"/>
    <w:rsid w:val="009240E5"/>
    <w:rsid w:val="00996259"/>
    <w:rsid w:val="009A7D98"/>
    <w:rsid w:val="00A44AD9"/>
    <w:rsid w:val="00B00332"/>
    <w:rsid w:val="00B511C4"/>
    <w:rsid w:val="00B54DD9"/>
    <w:rsid w:val="00BE1413"/>
    <w:rsid w:val="00C54B06"/>
    <w:rsid w:val="00D3611B"/>
    <w:rsid w:val="00DD2E84"/>
    <w:rsid w:val="00DE4410"/>
    <w:rsid w:val="00E10978"/>
    <w:rsid w:val="00E51AB5"/>
    <w:rsid w:val="00ED2D47"/>
    <w:rsid w:val="00EE7F20"/>
    <w:rsid w:val="00F23DC3"/>
    <w:rsid w:val="00FB06C0"/>
    <w:rsid w:val="00FE4F7F"/>
    <w:rsid w:val="41E52178"/>
    <w:rsid w:val="4BBEE7CE"/>
    <w:rsid w:val="6AAC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30BA"/>
  <w15:chartTrackingRefBased/>
  <w15:docId w15:val="{C60FBD71-B6ED-45D6-BA7D-7BE4F00E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Light" w:hAnsi="Century Gothic Light" w:eastAsiaTheme="minorHAnsi" w:cstheme="minorBidi"/>
        <w:color w:val="002F6C" w:themeColor="text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67C3"/>
  </w:style>
  <w:style w:type="paragraph" w:styleId="Heading1">
    <w:name w:val="heading 1"/>
    <w:basedOn w:val="Normal"/>
    <w:next w:val="Normal"/>
    <w:link w:val="Heading1Char"/>
    <w:uiPriority w:val="9"/>
    <w:qFormat/>
    <w:rsid w:val="005501CE"/>
    <w:pPr>
      <w:keepNext/>
      <w:keepLines/>
      <w:spacing w:before="240" w:after="0"/>
      <w:outlineLvl w:val="0"/>
    </w:pPr>
    <w:rPr>
      <w:rFonts w:eastAsiaTheme="majorEastAsia" w:cstheme="majorBidi"/>
      <w:color w:val="FF8200" w:themeColor="accent2"/>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00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00A0"/>
  </w:style>
  <w:style w:type="paragraph" w:styleId="Footer">
    <w:name w:val="footer"/>
    <w:basedOn w:val="Normal"/>
    <w:link w:val="FooterChar"/>
    <w:uiPriority w:val="99"/>
    <w:unhideWhenUsed/>
    <w:rsid w:val="008700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00A0"/>
  </w:style>
  <w:style w:type="paragraph" w:styleId="BalloonText">
    <w:name w:val="Balloon Text"/>
    <w:basedOn w:val="Normal"/>
    <w:link w:val="BalloonTextChar"/>
    <w:uiPriority w:val="99"/>
    <w:semiHidden/>
    <w:unhideWhenUsed/>
    <w:rsid w:val="008700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0A0"/>
    <w:rPr>
      <w:rFonts w:ascii="Segoe UI" w:hAnsi="Segoe UI" w:cs="Segoe UI"/>
      <w:sz w:val="18"/>
      <w:szCs w:val="18"/>
    </w:rPr>
  </w:style>
  <w:style w:type="table" w:styleId="TableGrid">
    <w:name w:val="Table Grid"/>
    <w:basedOn w:val="TableNormal"/>
    <w:uiPriority w:val="39"/>
    <w:rsid w:val="008700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rsid w:val="008700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8F5DD7"/>
    <w:rPr>
      <w:color w:val="0000FF"/>
      <w:u w:val="single"/>
    </w:rPr>
  </w:style>
  <w:style w:type="character" w:styleId="Heading1Char" w:customStyle="1">
    <w:name w:val="Heading 1 Char"/>
    <w:basedOn w:val="DefaultParagraphFont"/>
    <w:link w:val="Heading1"/>
    <w:uiPriority w:val="9"/>
    <w:rsid w:val="005501CE"/>
    <w:rPr>
      <w:rFonts w:ascii="Century Gothic Light" w:hAnsi="Century Gothic Light" w:eastAsiaTheme="majorEastAsia" w:cstheme="majorBidi"/>
      <w:color w:val="FF8200" w:themeColor="accent2"/>
      <w:sz w:val="28"/>
      <w:szCs w:val="32"/>
    </w:rPr>
  </w:style>
  <w:style w:type="character" w:styleId="Emphasis">
    <w:name w:val="Emphasis"/>
    <w:basedOn w:val="DefaultParagraphFont"/>
    <w:uiPriority w:val="20"/>
    <w:qFormat/>
    <w:rsid w:val="005501CE"/>
    <w:rPr>
      <w:i/>
      <w:iCs/>
    </w:rPr>
  </w:style>
  <w:style w:type="paragraph" w:styleId="NoSpacing">
    <w:name w:val="No Spacing"/>
    <w:aliases w:val="Bulleted Content"/>
    <w:uiPriority w:val="1"/>
    <w:qFormat/>
    <w:rsid w:val="005501CE"/>
    <w:pPr>
      <w:spacing w:after="0" w:line="240" w:lineRule="auto"/>
    </w:pPr>
  </w:style>
  <w:style w:type="character" w:styleId="Strong">
    <w:name w:val="Strong"/>
    <w:basedOn w:val="DefaultParagraphFont"/>
    <w:uiPriority w:val="22"/>
    <w:qFormat/>
    <w:rsid w:val="005501CE"/>
    <w:rPr>
      <w:b/>
      <w:bCs/>
    </w:rPr>
  </w:style>
  <w:style w:type="paragraph" w:styleId="NormalWeb">
    <w:name w:val="Normal (Web)"/>
    <w:basedOn w:val="Normal"/>
    <w:uiPriority w:val="99"/>
    <w:semiHidden/>
    <w:unhideWhenUsed/>
    <w:rsid w:val="005501CE"/>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1763">
      <w:bodyDiv w:val="1"/>
      <w:marLeft w:val="0"/>
      <w:marRight w:val="0"/>
      <w:marTop w:val="0"/>
      <w:marBottom w:val="0"/>
      <w:divBdr>
        <w:top w:val="none" w:sz="0" w:space="0" w:color="auto"/>
        <w:left w:val="none" w:sz="0" w:space="0" w:color="auto"/>
        <w:bottom w:val="none" w:sz="0" w:space="0" w:color="auto"/>
        <w:right w:val="none" w:sz="0" w:space="0" w:color="auto"/>
      </w:divBdr>
    </w:div>
    <w:div w:id="386683006">
      <w:bodyDiv w:val="1"/>
      <w:marLeft w:val="0"/>
      <w:marRight w:val="0"/>
      <w:marTop w:val="0"/>
      <w:marBottom w:val="0"/>
      <w:divBdr>
        <w:top w:val="none" w:sz="0" w:space="0" w:color="auto"/>
        <w:left w:val="none" w:sz="0" w:space="0" w:color="auto"/>
        <w:bottom w:val="none" w:sz="0" w:space="0" w:color="auto"/>
        <w:right w:val="none" w:sz="0" w:space="0" w:color="auto"/>
      </w:divBdr>
    </w:div>
    <w:div w:id="420108427">
      <w:bodyDiv w:val="1"/>
      <w:marLeft w:val="0"/>
      <w:marRight w:val="0"/>
      <w:marTop w:val="0"/>
      <w:marBottom w:val="0"/>
      <w:divBdr>
        <w:top w:val="none" w:sz="0" w:space="0" w:color="auto"/>
        <w:left w:val="none" w:sz="0" w:space="0" w:color="auto"/>
        <w:bottom w:val="none" w:sz="0" w:space="0" w:color="auto"/>
        <w:right w:val="none" w:sz="0" w:space="0" w:color="auto"/>
      </w:divBdr>
    </w:div>
    <w:div w:id="473379356">
      <w:bodyDiv w:val="1"/>
      <w:marLeft w:val="0"/>
      <w:marRight w:val="0"/>
      <w:marTop w:val="0"/>
      <w:marBottom w:val="0"/>
      <w:divBdr>
        <w:top w:val="none" w:sz="0" w:space="0" w:color="auto"/>
        <w:left w:val="none" w:sz="0" w:space="0" w:color="auto"/>
        <w:bottom w:val="none" w:sz="0" w:space="0" w:color="auto"/>
        <w:right w:val="none" w:sz="0" w:space="0" w:color="auto"/>
      </w:divBdr>
    </w:div>
    <w:div w:id="474493684">
      <w:bodyDiv w:val="1"/>
      <w:marLeft w:val="0"/>
      <w:marRight w:val="0"/>
      <w:marTop w:val="0"/>
      <w:marBottom w:val="0"/>
      <w:divBdr>
        <w:top w:val="none" w:sz="0" w:space="0" w:color="auto"/>
        <w:left w:val="none" w:sz="0" w:space="0" w:color="auto"/>
        <w:bottom w:val="none" w:sz="0" w:space="0" w:color="auto"/>
        <w:right w:val="none" w:sz="0" w:space="0" w:color="auto"/>
      </w:divBdr>
    </w:div>
    <w:div w:id="548614391">
      <w:bodyDiv w:val="1"/>
      <w:marLeft w:val="0"/>
      <w:marRight w:val="0"/>
      <w:marTop w:val="0"/>
      <w:marBottom w:val="0"/>
      <w:divBdr>
        <w:top w:val="none" w:sz="0" w:space="0" w:color="auto"/>
        <w:left w:val="none" w:sz="0" w:space="0" w:color="auto"/>
        <w:bottom w:val="none" w:sz="0" w:space="0" w:color="auto"/>
        <w:right w:val="none" w:sz="0" w:space="0" w:color="auto"/>
      </w:divBdr>
    </w:div>
    <w:div w:id="851380712">
      <w:bodyDiv w:val="1"/>
      <w:marLeft w:val="0"/>
      <w:marRight w:val="0"/>
      <w:marTop w:val="0"/>
      <w:marBottom w:val="0"/>
      <w:divBdr>
        <w:top w:val="none" w:sz="0" w:space="0" w:color="auto"/>
        <w:left w:val="none" w:sz="0" w:space="0" w:color="auto"/>
        <w:bottom w:val="none" w:sz="0" w:space="0" w:color="auto"/>
        <w:right w:val="none" w:sz="0" w:space="0" w:color="auto"/>
      </w:divBdr>
    </w:div>
    <w:div w:id="1040282367">
      <w:bodyDiv w:val="1"/>
      <w:marLeft w:val="0"/>
      <w:marRight w:val="0"/>
      <w:marTop w:val="0"/>
      <w:marBottom w:val="0"/>
      <w:divBdr>
        <w:top w:val="none" w:sz="0" w:space="0" w:color="auto"/>
        <w:left w:val="none" w:sz="0" w:space="0" w:color="auto"/>
        <w:bottom w:val="none" w:sz="0" w:space="0" w:color="auto"/>
        <w:right w:val="none" w:sz="0" w:space="0" w:color="auto"/>
      </w:divBdr>
    </w:div>
    <w:div w:id="1098060512">
      <w:bodyDiv w:val="1"/>
      <w:marLeft w:val="0"/>
      <w:marRight w:val="0"/>
      <w:marTop w:val="0"/>
      <w:marBottom w:val="0"/>
      <w:divBdr>
        <w:top w:val="none" w:sz="0" w:space="0" w:color="auto"/>
        <w:left w:val="none" w:sz="0" w:space="0" w:color="auto"/>
        <w:bottom w:val="none" w:sz="0" w:space="0" w:color="auto"/>
        <w:right w:val="none" w:sz="0" w:space="0" w:color="auto"/>
      </w:divBdr>
    </w:div>
    <w:div w:id="1142967900">
      <w:bodyDiv w:val="1"/>
      <w:marLeft w:val="0"/>
      <w:marRight w:val="0"/>
      <w:marTop w:val="0"/>
      <w:marBottom w:val="0"/>
      <w:divBdr>
        <w:top w:val="none" w:sz="0" w:space="0" w:color="auto"/>
        <w:left w:val="none" w:sz="0" w:space="0" w:color="auto"/>
        <w:bottom w:val="none" w:sz="0" w:space="0" w:color="auto"/>
        <w:right w:val="none" w:sz="0" w:space="0" w:color="auto"/>
      </w:divBdr>
    </w:div>
    <w:div w:id="1297680625">
      <w:bodyDiv w:val="1"/>
      <w:marLeft w:val="0"/>
      <w:marRight w:val="0"/>
      <w:marTop w:val="0"/>
      <w:marBottom w:val="0"/>
      <w:divBdr>
        <w:top w:val="none" w:sz="0" w:space="0" w:color="auto"/>
        <w:left w:val="none" w:sz="0" w:space="0" w:color="auto"/>
        <w:bottom w:val="none" w:sz="0" w:space="0" w:color="auto"/>
        <w:right w:val="none" w:sz="0" w:space="0" w:color="auto"/>
      </w:divBdr>
    </w:div>
    <w:div w:id="1509448020">
      <w:bodyDiv w:val="1"/>
      <w:marLeft w:val="0"/>
      <w:marRight w:val="0"/>
      <w:marTop w:val="0"/>
      <w:marBottom w:val="0"/>
      <w:divBdr>
        <w:top w:val="none" w:sz="0" w:space="0" w:color="auto"/>
        <w:left w:val="none" w:sz="0" w:space="0" w:color="auto"/>
        <w:bottom w:val="none" w:sz="0" w:space="0" w:color="auto"/>
        <w:right w:val="none" w:sz="0" w:space="0" w:color="auto"/>
      </w:divBdr>
    </w:div>
    <w:div w:id="1697776253">
      <w:bodyDiv w:val="1"/>
      <w:marLeft w:val="0"/>
      <w:marRight w:val="0"/>
      <w:marTop w:val="0"/>
      <w:marBottom w:val="0"/>
      <w:divBdr>
        <w:top w:val="none" w:sz="0" w:space="0" w:color="auto"/>
        <w:left w:val="none" w:sz="0" w:space="0" w:color="auto"/>
        <w:bottom w:val="none" w:sz="0" w:space="0" w:color="auto"/>
        <w:right w:val="none" w:sz="0" w:space="0" w:color="auto"/>
      </w:divBdr>
      <w:divsChild>
        <w:div w:id="1255699329">
          <w:marLeft w:val="0"/>
          <w:marRight w:val="0"/>
          <w:marTop w:val="0"/>
          <w:marBottom w:val="0"/>
          <w:divBdr>
            <w:top w:val="none" w:sz="0" w:space="0" w:color="auto"/>
            <w:left w:val="none" w:sz="0" w:space="0" w:color="auto"/>
            <w:bottom w:val="none" w:sz="0" w:space="0" w:color="auto"/>
            <w:right w:val="none" w:sz="0" w:space="0" w:color="auto"/>
          </w:divBdr>
        </w:div>
        <w:div w:id="1191147971">
          <w:marLeft w:val="0"/>
          <w:marRight w:val="0"/>
          <w:marTop w:val="0"/>
          <w:marBottom w:val="0"/>
          <w:divBdr>
            <w:top w:val="none" w:sz="0" w:space="0" w:color="auto"/>
            <w:left w:val="none" w:sz="0" w:space="0" w:color="auto"/>
            <w:bottom w:val="none" w:sz="0" w:space="0" w:color="auto"/>
            <w:right w:val="none" w:sz="0" w:space="0" w:color="auto"/>
          </w:divBdr>
        </w:div>
      </w:divsChild>
    </w:div>
    <w:div w:id="1837454378">
      <w:bodyDiv w:val="1"/>
      <w:marLeft w:val="0"/>
      <w:marRight w:val="0"/>
      <w:marTop w:val="0"/>
      <w:marBottom w:val="0"/>
      <w:divBdr>
        <w:top w:val="none" w:sz="0" w:space="0" w:color="auto"/>
        <w:left w:val="none" w:sz="0" w:space="0" w:color="auto"/>
        <w:bottom w:val="none" w:sz="0" w:space="0" w:color="auto"/>
        <w:right w:val="none" w:sz="0" w:space="0" w:color="auto"/>
      </w:divBdr>
    </w:div>
    <w:div w:id="18599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ennemore Craig 2020">
      <a:dk1>
        <a:srgbClr val="6E6259"/>
      </a:dk1>
      <a:lt1>
        <a:sysClr val="window" lastClr="FFFFFF"/>
      </a:lt1>
      <a:dk2>
        <a:srgbClr val="002F6C"/>
      </a:dk2>
      <a:lt2>
        <a:srgbClr val="958A82"/>
      </a:lt2>
      <a:accent1>
        <a:srgbClr val="002F6C"/>
      </a:accent1>
      <a:accent2>
        <a:srgbClr val="FF8200"/>
      </a:accent2>
      <a:accent3>
        <a:srgbClr val="003DA5"/>
      </a:accent3>
      <a:accent4>
        <a:srgbClr val="0C2340"/>
      </a:accent4>
      <a:accent5>
        <a:srgbClr val="D6D1CA"/>
      </a:accent5>
      <a:accent6>
        <a:srgbClr val="6E6259"/>
      </a:accent6>
      <a:hlink>
        <a:srgbClr val="FF8200"/>
      </a:hlink>
      <a:folHlink>
        <a:srgbClr val="003D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ESME</dc:creator>
  <keywords/>
  <dc:description/>
  <lastModifiedBy>Finessa Bates</lastModifiedBy>
  <revision>5</revision>
  <lastPrinted>2021-01-04T21:09:00.0000000Z</lastPrinted>
  <dcterms:created xsi:type="dcterms:W3CDTF">2022-04-19T20:08:00.0000000Z</dcterms:created>
  <dcterms:modified xsi:type="dcterms:W3CDTF">2023-01-12T18:43:35.3238201Z</dcterms:modified>
</coreProperties>
</file>