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029B5EC0" w14:paraId="3E2643B7" w14:textId="77777777">
        <w:trPr>
          <w:trHeight w:val="579"/>
        </w:trPr>
        <w:tc>
          <w:tcPr>
            <w:tcW w:w="10299" w:type="dxa"/>
            <w:tcMar/>
          </w:tcPr>
          <w:p w:rsidRPr="00A23A37" w:rsidR="00A23A37" w:rsidP="00A23A37" w:rsidRDefault="00A23A37" w14:paraId="5D7690AF" w14:textId="77777777">
            <w:pPr>
              <w:rPr>
                <w:rFonts w:cs="Century Gothic Light"/>
                <w:color w:val="09223F"/>
              </w:rPr>
            </w:pPr>
            <w:r w:rsidRPr="00A23A37">
              <w:rPr>
                <w:rFonts w:cs="Century Gothic Light"/>
                <w:color w:val="09223F"/>
              </w:rPr>
              <w:t xml:space="preserve">Emily Ward works in our business litigation practice group where she litigates high-stakes cases for plaintiffs and defendants in federal and state courts across the country. An outside-of-the-box thinker who pays close attention to details and consistently runs matters to the ground on behalf of her clients, this up-and-coming business litigation attorney has the unique ability to master diverse subject matters, ranging from constitutional issues, multilevel marketing, landfill and solid waste management, and commercial real estate. Emily’s success has earned her recognition as a </w:t>
            </w:r>
            <w:r w:rsidRPr="00A23A37">
              <w:rPr>
                <w:rFonts w:cs="Century Gothic Light"/>
                <w:i/>
                <w:iCs/>
                <w:color w:val="09223F"/>
              </w:rPr>
              <w:t>Super Lawyers</w:t>
            </w:r>
            <w:r w:rsidRPr="00A23A37">
              <w:rPr>
                <w:rFonts w:cs="Century Gothic Light"/>
                <w:i/>
                <w:iCs/>
                <w:color w:val="09223F"/>
                <w:vertAlign w:val="superscript"/>
              </w:rPr>
              <w:t>®</w:t>
            </w:r>
            <w:r w:rsidRPr="00A23A37">
              <w:rPr>
                <w:rFonts w:cs="Century Gothic Light"/>
                <w:i/>
                <w:iCs/>
                <w:color w:val="09223F"/>
              </w:rPr>
              <w:t xml:space="preserve"> Rising Star</w:t>
            </w:r>
            <w:r w:rsidRPr="00A23A37">
              <w:rPr>
                <w:rFonts w:cs="Century Gothic Light"/>
                <w:color w:val="09223F"/>
              </w:rPr>
              <w:t xml:space="preserve"> each year since 2016.   </w:t>
            </w:r>
          </w:p>
          <w:p w:rsidRPr="00A23A37" w:rsidR="00A23A37" w:rsidP="00A23A37" w:rsidRDefault="00A23A37" w14:paraId="28997D1E" w14:textId="77777777">
            <w:pPr>
              <w:rPr>
                <w:rFonts w:cs="Century Gothic Light"/>
                <w:color w:val="09223F"/>
              </w:rPr>
            </w:pPr>
          </w:p>
          <w:p w:rsidRPr="00A23A37" w:rsidR="00A23A37" w:rsidP="00A23A37" w:rsidRDefault="00A23A37" w14:paraId="23619ED3" w14:textId="77777777">
            <w:pPr>
              <w:rPr>
                <w:rFonts w:cs="Century Gothic Light"/>
                <w:color w:val="09223F"/>
              </w:rPr>
            </w:pPr>
            <w:r w:rsidRPr="00A23A37">
              <w:rPr>
                <w:rFonts w:cs="Century Gothic Light"/>
                <w:color w:val="09223F"/>
              </w:rPr>
              <w:t>From the moment Emily participated in mock trial at Xavier College Preparatory in Phoenix, Arizona, she knew she would become an attorney. Her passion for the law has not dwindled — to this day she enjoys the intellectual challenge of the field, looking at cases from all angles to creatively solve issues, and taking on her clients’ problems as her own.</w:t>
            </w:r>
          </w:p>
          <w:p w:rsidRPr="00A23A37" w:rsidR="00A23A37" w:rsidP="00A23A37" w:rsidRDefault="00A23A37" w14:paraId="7316BD98" w14:textId="77777777">
            <w:pPr>
              <w:rPr>
                <w:rFonts w:cs="Century Gothic Light"/>
                <w:color w:val="09223F"/>
              </w:rPr>
            </w:pPr>
          </w:p>
          <w:p w:rsidRPr="00A23A37" w:rsidR="00A23A37" w:rsidP="00A23A37" w:rsidRDefault="00A23A37" w14:paraId="4A747238" w14:textId="77777777">
            <w:pPr>
              <w:rPr>
                <w:rFonts w:cs="Century Gothic Light"/>
                <w:color w:val="09223F"/>
              </w:rPr>
            </w:pPr>
            <w:r w:rsidRPr="00A23A37">
              <w:rPr>
                <w:rFonts w:cs="Century Gothic Light"/>
                <w:color w:val="09223F"/>
              </w:rPr>
              <w:t>Outside of her work as a business litigator, Emily is actively involved with the Florence Immigrant and Refugee Rights Project, and enjoys taking on pro bono appeals for those seeking asylum. She is also a member of the board for the Arizona Industries for the Blind, helping to create well-paying jobs for Arizona’s blind population. Serving on the State Bar of Arizona’s Civil Practice and Procedure Committee, she has presented multiple times on how to leverage the rules of civil procedure to a client’s advantage.</w:t>
            </w:r>
          </w:p>
          <w:p w:rsidRPr="00A23A37" w:rsidR="00A23A37" w:rsidP="00A23A37" w:rsidRDefault="00A23A37" w14:paraId="704EADE0" w14:textId="77777777">
            <w:pPr>
              <w:rPr>
                <w:rFonts w:cs="Century Gothic Light"/>
                <w:color w:val="09223F"/>
              </w:rPr>
            </w:pPr>
          </w:p>
          <w:p w:rsidRPr="003779A7" w:rsidR="008700A0" w:rsidP="00A23A37" w:rsidRDefault="00A23A37" w14:paraId="39C10D41" w14:textId="15715AEC">
            <w:pPr>
              <w:rPr>
                <w:rFonts w:cs="Century Gothic Light"/>
                <w:color w:val="09223F"/>
              </w:rPr>
            </w:pPr>
            <w:r w:rsidRPr="00A23A37">
              <w:rPr>
                <w:rFonts w:cs="Century Gothic Light"/>
                <w:color w:val="09223F"/>
              </w:rPr>
              <w:t>When she is not hard at work as a business litigation lawyer or busy in the community, Emily enjoys hiking with her husband, Mike; her daughter, Violet; and her two dogs, Gus and Elliot.</w:t>
            </w:r>
          </w:p>
        </w:tc>
      </w:tr>
      <w:tr w:rsidR="008700A0" w:rsidTr="029B5EC0"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029B5EC0"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A23A37" w:rsidR="00A23A37" w:rsidP="00A23A37" w:rsidRDefault="00A23A37" w14:paraId="0ACBB43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 xml:space="preserve">J.D., </w:t>
            </w:r>
            <w:r w:rsidRPr="00A23A37">
              <w:rPr>
                <w:rFonts w:ascii="Century Gothic Light" w:hAnsi="Century Gothic Light" w:cs="Century Gothic Light"/>
                <w:i/>
                <w:iCs/>
                <w:color w:val="09223F"/>
                <w:sz w:val="22"/>
                <w:szCs w:val="22"/>
              </w:rPr>
              <w:t>summa cum laude,</w:t>
            </w:r>
            <w:r w:rsidRPr="00A23A37">
              <w:rPr>
                <w:rFonts w:ascii="Century Gothic Light" w:hAnsi="Century Gothic Light" w:cs="Century Gothic Light"/>
                <w:color w:val="09223F"/>
                <w:sz w:val="22"/>
                <w:szCs w:val="22"/>
              </w:rPr>
              <w:t xml:space="preserve"> University of Arizona, James E. Rogers College of Law</w:t>
            </w:r>
          </w:p>
          <w:p w:rsidRPr="00A23A37" w:rsidR="00A23A37" w:rsidP="00A23A37" w:rsidRDefault="00A23A37" w14:paraId="43CC3E0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 xml:space="preserve">B.A., </w:t>
            </w:r>
            <w:r w:rsidRPr="00A23A37">
              <w:rPr>
                <w:rFonts w:ascii="Century Gothic Light" w:hAnsi="Century Gothic Light" w:cs="Century Gothic Light"/>
                <w:i/>
                <w:iCs/>
                <w:color w:val="09223F"/>
                <w:sz w:val="22"/>
                <w:szCs w:val="22"/>
              </w:rPr>
              <w:t>summa cum laude</w:t>
            </w:r>
            <w:r w:rsidRPr="00A23A37">
              <w:rPr>
                <w:rFonts w:ascii="Century Gothic Light" w:hAnsi="Century Gothic Light" w:cs="Century Gothic Light"/>
                <w:color w:val="09223F"/>
                <w:sz w:val="22"/>
                <w:szCs w:val="22"/>
              </w:rPr>
              <w:t>, University of Arizona</w:t>
            </w:r>
          </w:p>
          <w:p w:rsidRPr="00551687" w:rsidR="00AB20C4" w:rsidP="00A23A37" w:rsidRDefault="00A23A37" w14:paraId="3BF85D19" w14:textId="0D753D6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Order of the Coif</w:t>
            </w:r>
          </w:p>
        </w:tc>
      </w:tr>
      <w:tr w:rsidR="00DE4410" w:rsidTr="029B5EC0"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029B5EC0"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497F4D" w:rsidTr="00FE7FAC" w14:paraId="2FD63DE2" w14:textId="77777777">
              <w:trPr>
                <w:trHeight w:val="195"/>
              </w:trPr>
              <w:tc>
                <w:tcPr>
                  <w:tcW w:w="5036" w:type="dxa"/>
                </w:tcPr>
                <w:p w:rsidR="000630A2" w:rsidP="008235A9" w:rsidRDefault="007F0A23" w14:paraId="2D4A766A" w14:textId="2CFA4D81">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Business </w:t>
                  </w:r>
                  <w:r w:rsidR="00A23A37">
                    <w:rPr>
                      <w:rFonts w:ascii="Century Gothic Light" w:hAnsi="Century Gothic Light" w:cs="Century Gothic Light"/>
                      <w:color w:val="09223F"/>
                      <w:sz w:val="22"/>
                      <w:szCs w:val="22"/>
                    </w:rPr>
                    <w:t>Litigation</w:t>
                  </w:r>
                </w:p>
                <w:p w:rsidRPr="00A23A37" w:rsidR="007F0A23" w:rsidP="008235A9" w:rsidRDefault="00A23A37" w14:paraId="5707AB71" w14:textId="16031B9B">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Business Torts</w:t>
                  </w:r>
                </w:p>
              </w:tc>
              <w:tc>
                <w:tcPr>
                  <w:tcW w:w="5037" w:type="dxa"/>
                </w:tcPr>
                <w:p w:rsidRPr="00A23A37" w:rsidR="007F0A23" w:rsidP="008235A9" w:rsidRDefault="00A23A37" w14:paraId="22A85BCB" w14:textId="7F765665">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Litigation</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365E0B" w:rsidTr="029B5EC0" w14:paraId="748AFD87" w14:textId="77777777">
        <w:trPr>
          <w:trHeight w:val="288"/>
        </w:trPr>
        <w:tc>
          <w:tcPr>
            <w:tcW w:w="10299" w:type="dxa"/>
            <w:tcMar/>
          </w:tcPr>
          <w:p w:rsidRPr="008F5DD7" w:rsidR="00365E0B" w:rsidP="00996259" w:rsidRDefault="00365E0B" w14:paraId="0E447D63" w14:textId="77777777">
            <w:pPr>
              <w:pStyle w:val="BasicParagraph"/>
              <w:rPr>
                <w:rFonts w:ascii="Century Gothic Light" w:hAnsi="Century Gothic Light" w:cs="Century Gothic Light"/>
                <w:caps/>
                <w:color w:val="F5821F"/>
                <w:szCs w:val="28"/>
              </w:rPr>
            </w:pPr>
          </w:p>
        </w:tc>
      </w:tr>
      <w:tr w:rsidR="007F0A23" w:rsidTr="029B5EC0" w14:paraId="1997DCE4" w14:textId="77777777">
        <w:trPr>
          <w:trHeight w:val="288"/>
        </w:trPr>
        <w:tc>
          <w:tcPr>
            <w:tcW w:w="10299" w:type="dxa"/>
            <w:tcMar/>
          </w:tcPr>
          <w:p w:rsidRPr="00996259" w:rsidR="007F0A23" w:rsidP="007F0A23" w:rsidRDefault="007F0A23" w14:paraId="00211F53" w14:textId="75E12F1D">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rsidRPr="00A23A37" w:rsidR="00A23A37" w:rsidP="00A23A37" w:rsidRDefault="00A23A37" w14:paraId="1EC60F6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Argued before Arizona Court of Appeals on scope of notice required for premises liability action and obtained judgment reversing trial court’s grant of summary judgment.</w:t>
            </w:r>
          </w:p>
          <w:p w:rsidRPr="00A23A37" w:rsidR="00A23A37" w:rsidP="00A23A37" w:rsidRDefault="00A23A37" w14:paraId="2F48F3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Successfully helped obtain multi-million dollar settlement for breach of contract against prominent multi-level marketing company.</w:t>
            </w:r>
          </w:p>
          <w:p w:rsidRPr="00A23A37" w:rsidR="00A23A37" w:rsidP="00A23A37" w:rsidRDefault="00A23A37" w14:paraId="1CC19B7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 xml:space="preserve">Represented commercial tenants at 16th Street and Bethany Home Road in a 6-day bench trial against prominent Phoenix landlord regarding assessment of common area expenses.  We obtained a ruling awarding tenants all improperly assessed costs. </w:t>
            </w:r>
          </w:p>
          <w:p w:rsidRPr="007F0A23" w:rsidR="007F0A23" w:rsidP="00A23A37" w:rsidRDefault="00A23A37" w14:paraId="5F068E8F" w14:textId="4A76071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Argued that subcontractor had contractual duty to defend and obtained favorable ruling requiring subcontractor to pay all attorneys’ fees and costs.</w:t>
            </w:r>
          </w:p>
        </w:tc>
      </w:tr>
      <w:tr w:rsidR="007F0A23" w:rsidTr="029B5EC0" w14:paraId="19549E31" w14:textId="77777777">
        <w:trPr>
          <w:trHeight w:val="288"/>
        </w:trPr>
        <w:tc>
          <w:tcPr>
            <w:tcW w:w="10299" w:type="dxa"/>
            <w:tcMar/>
          </w:tcPr>
          <w:p w:rsidRPr="008F5DD7" w:rsidR="007F0A23" w:rsidP="00996259" w:rsidRDefault="007F0A23" w14:paraId="4D38DBC9" w14:textId="77777777">
            <w:pPr>
              <w:pStyle w:val="BasicParagraph"/>
              <w:rPr>
                <w:rFonts w:ascii="Century Gothic Light" w:hAnsi="Century Gothic Light" w:cs="Century Gothic Light"/>
                <w:caps/>
                <w:color w:val="F5821F"/>
                <w:szCs w:val="28"/>
              </w:rPr>
            </w:pPr>
          </w:p>
        </w:tc>
      </w:tr>
      <w:tr w:rsidR="007F0A23" w:rsidTr="029B5EC0" w14:paraId="374B865B" w14:textId="77777777">
        <w:trPr>
          <w:trHeight w:val="288"/>
        </w:trPr>
        <w:tc>
          <w:tcPr>
            <w:tcW w:w="10299" w:type="dxa"/>
            <w:tcMar/>
          </w:tcPr>
          <w:p w:rsidRPr="00996259" w:rsidR="007F0A23" w:rsidP="007F0A23" w:rsidRDefault="007F0A23" w14:paraId="2AA365AB" w14:textId="5720120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8235A9" w:rsidR="008235A9" w:rsidP="008235A9" w:rsidRDefault="008235A9" w14:paraId="37C27C84"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8235A9">
              <w:rPr>
                <w:rFonts w:ascii="Century Gothic Light" w:hAnsi="Century Gothic Light" w:cs="Century Gothic Light"/>
                <w:i/>
                <w:iCs/>
                <w:color w:val="09223F"/>
                <w:sz w:val="22"/>
                <w:szCs w:val="22"/>
              </w:rPr>
              <w:t>Chambers USA, </w:t>
            </w:r>
            <w:r w:rsidRPr="008235A9">
              <w:rPr>
                <w:rFonts w:ascii="Century Gothic Light" w:hAnsi="Century Gothic Light" w:cs="Century Gothic Light"/>
                <w:color w:val="09223F"/>
                <w:sz w:val="22"/>
                <w:szCs w:val="22"/>
              </w:rPr>
              <w:t>Leading Lawyers for Business, Up and Coming, 2021</w:t>
            </w:r>
          </w:p>
          <w:p w:rsidRPr="007F0A23" w:rsidR="007F0A23" w:rsidP="007F0A23" w:rsidRDefault="00A23A37" w14:paraId="786AE120" w14:textId="6533224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i/>
                <w:iCs/>
                <w:color w:val="09223F"/>
                <w:sz w:val="22"/>
                <w:szCs w:val="22"/>
              </w:rPr>
              <w:t>Southwest Rising Stars</w:t>
            </w:r>
            <w:r w:rsidRPr="00A23A37">
              <w:rPr>
                <w:rFonts w:ascii="Century Gothic Light" w:hAnsi="Century Gothic Light" w:cs="Century Gothic Light"/>
                <w:i/>
                <w:iCs/>
                <w:color w:val="09223F"/>
                <w:sz w:val="22"/>
                <w:szCs w:val="22"/>
                <w:vertAlign w:val="superscript"/>
              </w:rPr>
              <w:t>®</w:t>
            </w:r>
            <w:r w:rsidRPr="00A23A37">
              <w:rPr>
                <w:rFonts w:ascii="Century Gothic Light" w:hAnsi="Century Gothic Light" w:cs="Century Gothic Light"/>
                <w:i/>
                <w:iCs/>
                <w:color w:val="09223F"/>
                <w:sz w:val="22"/>
                <w:szCs w:val="22"/>
              </w:rPr>
              <w:t xml:space="preserve">, </w:t>
            </w:r>
            <w:r w:rsidRPr="00A23A37">
              <w:rPr>
                <w:rFonts w:ascii="Century Gothic Light" w:hAnsi="Century Gothic Light" w:cs="Century Gothic Light"/>
                <w:color w:val="09223F"/>
                <w:sz w:val="22"/>
                <w:szCs w:val="22"/>
              </w:rPr>
              <w:t>Business Litigation, 2016-202</w:t>
            </w:r>
            <w:r w:rsidR="00871F27">
              <w:rPr>
                <w:rFonts w:ascii="Century Gothic Light" w:hAnsi="Century Gothic Light" w:cs="Century Gothic Light"/>
                <w:color w:val="09223F"/>
                <w:sz w:val="22"/>
                <w:szCs w:val="22"/>
              </w:rPr>
              <w:t>1</w:t>
            </w:r>
          </w:p>
        </w:tc>
      </w:tr>
      <w:tr w:rsidR="007F0A23" w:rsidTr="029B5EC0" w14:paraId="13FF04D5" w14:textId="77777777">
        <w:trPr>
          <w:trHeight w:val="288"/>
        </w:trPr>
        <w:tc>
          <w:tcPr>
            <w:tcW w:w="10299" w:type="dxa"/>
            <w:tcMar/>
          </w:tcPr>
          <w:p w:rsidRPr="008F5DD7" w:rsidR="007F0A23" w:rsidP="00996259" w:rsidRDefault="007F0A23" w14:paraId="074598AE" w14:textId="77777777">
            <w:pPr>
              <w:pStyle w:val="BasicParagraph"/>
              <w:rPr>
                <w:rFonts w:ascii="Century Gothic Light" w:hAnsi="Century Gothic Light" w:cs="Century Gothic Light"/>
                <w:caps/>
                <w:color w:val="F5821F"/>
                <w:szCs w:val="28"/>
              </w:rPr>
            </w:pPr>
          </w:p>
        </w:tc>
      </w:tr>
      <w:tr w:rsidR="00B65F35" w:rsidTr="029B5EC0" w14:paraId="22BA8298" w14:textId="77777777">
        <w:trPr>
          <w:trHeight w:val="288"/>
        </w:trPr>
        <w:tc>
          <w:tcPr>
            <w:tcW w:w="10299" w:type="dxa"/>
            <w:tcMar/>
          </w:tcPr>
          <w:p w:rsidRPr="00996259" w:rsidR="00B65F35" w:rsidP="00B65F35" w:rsidRDefault="00365E0B" w14:paraId="73286092" w14:textId="29145DCA">
            <w:pPr>
              <w:pStyle w:val="BasicParagraph"/>
              <w:rPr>
                <w:rFonts w:ascii="Century Gothic Light" w:hAnsi="Century Gothic Light" w:cs="Century Gothic Light"/>
                <w:caps/>
                <w:color w:val="F5821F"/>
                <w:sz w:val="28"/>
                <w:szCs w:val="32"/>
              </w:rPr>
            </w:pPr>
            <w:r w:rsidRPr="029B5EC0" w:rsidR="029B5EC0">
              <w:rPr>
                <w:rFonts w:ascii="Century Gothic Light" w:hAnsi="Century Gothic Light" w:cs="Century Gothic Light"/>
                <w:caps w:val="1"/>
                <w:color w:val="F5821F"/>
                <w:sz w:val="28"/>
                <w:szCs w:val="28"/>
              </w:rPr>
              <w:t>articles and presentations</w:t>
            </w:r>
          </w:p>
          <w:p w:rsidR="029B5EC0" w:rsidP="029B5EC0" w:rsidRDefault="029B5EC0" w14:paraId="7DFC2899" w14:textId="18BC4EE7">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029B5EC0" w:rsidR="029B5EC0">
              <w:rPr>
                <w:rFonts w:ascii="Century Gothic Light" w:hAnsi="Century Gothic Light" w:eastAsia="Century Gothic Light" w:cs="Century Gothic Light"/>
                <w:color w:val="002E6C"/>
                <w:sz w:val="22"/>
                <w:szCs w:val="22"/>
              </w:rPr>
              <w:t>Interview, "Supreme Court Appears Ready to Overturn Roe V. Wade," AZ Fox 10, May 5, 2022</w:t>
            </w:r>
          </w:p>
          <w:p w:rsidR="029B5EC0" w:rsidP="029B5EC0" w:rsidRDefault="029B5EC0" w14:paraId="0082D999" w14:textId="3771D1AA">
            <w:pPr>
              <w:pStyle w:val="ListParagraph"/>
              <w:numPr>
                <w:ilvl w:val="0"/>
                <w:numId w:val="1"/>
              </w:numPr>
              <w:rPr>
                <w:rFonts w:ascii="Century Gothic Light" w:hAnsi="Century Gothic Light" w:eastAsia="Century Gothic Light" w:cs="Century Gothic Light"/>
                <w:color w:val="002F6C" w:themeColor="accent1" w:themeTint="FF" w:themeShade="FF"/>
                <w:sz w:val="22"/>
                <w:szCs w:val="22"/>
              </w:rPr>
            </w:pPr>
            <w:r w:rsidR="029B5EC0">
              <w:rPr/>
              <w:t>Quoted, "They knew this would cause an uproar": Phoenix constitutional law attorney analyzes impact of seismic SCOTUS leak," News Break, May 5, 2022</w:t>
            </w:r>
          </w:p>
          <w:p w:rsidRPr="00B65F35" w:rsidR="00B65F35" w:rsidP="60B3559B" w:rsidRDefault="00A23A37" w14:paraId="62D6CE26" w14:textId="6C346C02">
            <w:pPr>
              <w:pStyle w:val="BasicParagraph"/>
              <w:numPr>
                <w:ilvl w:val="0"/>
                <w:numId w:val="1"/>
              </w:numPr>
              <w:suppressAutoHyphens/>
              <w:spacing w:line="240" w:lineRule="auto"/>
              <w:rPr>
                <w:rFonts w:ascii="Century Gothic Light" w:hAnsi="Century Gothic Light" w:eastAsia="Century Gothic Light" w:cs="Century Gothic Light"/>
                <w:color w:val="002F6C" w:themeColor="accent1" w:themeTint="FF" w:themeShade="FF"/>
                <w:sz w:val="22"/>
                <w:szCs w:val="22"/>
              </w:rPr>
            </w:pPr>
            <w:r w:rsidRPr="60B3559B" w:rsidR="60B3559B">
              <w:rPr>
                <w:rFonts w:ascii="Century Gothic Light" w:hAnsi="Century Gothic Light" w:eastAsia="Century Gothic Light" w:cs="Century Gothic Light"/>
                <w:color w:val="002F6C" w:themeColor="accent1" w:themeTint="FF" w:themeShade="FF"/>
                <w:sz w:val="22"/>
                <w:szCs w:val="22"/>
              </w:rPr>
              <w:t>Co-author, “Must Attorneys’ Fees Be Included in Supersedeas Bond Amounts?” Arizona Attorney Magazine, April 2021</w:t>
            </w:r>
          </w:p>
          <w:p w:rsidRPr="00B65F35" w:rsidR="00B65F35" w:rsidP="60B3559B" w:rsidRDefault="00A23A37" w14:paraId="727BDAEB" w14:textId="4615ED09">
            <w:pPr>
              <w:pStyle w:val="ListParagraph"/>
              <w:numPr>
                <w:ilvl w:val="0"/>
                <w:numId w:val="1"/>
              </w:numPr>
              <w:suppressAutoHyphens/>
              <w:spacing w:line="240" w:lineRule="auto"/>
              <w:rPr>
                <w:rFonts w:ascii="Century Gothic Light" w:hAnsi="Century Gothic Light" w:eastAsia="Century Gothic Light" w:cs="Century Gothic Light"/>
                <w:color w:val="002F6C" w:themeColor="accent1" w:themeTint="FF" w:themeShade="FF"/>
                <w:sz w:val="22"/>
                <w:szCs w:val="22"/>
              </w:rPr>
            </w:pPr>
            <w:r w:rsidR="60B3559B">
              <w:rPr/>
              <w:t>Quoted, "Let's Celebrate Random Acts of Kindness Day," Fennemore Blog, February 18, 2021</w:t>
            </w:r>
          </w:p>
          <w:p w:rsidRPr="00B65F35" w:rsidR="00B65F35" w:rsidP="60B3559B" w:rsidRDefault="00A23A37" w14:paraId="41C999F0" w14:textId="40A4AF59">
            <w:pPr>
              <w:pStyle w:val="ListParagraph"/>
              <w:numPr>
                <w:ilvl w:val="0"/>
                <w:numId w:val="1"/>
              </w:numPr>
              <w:suppressAutoHyphens/>
              <w:spacing w:line="240" w:lineRule="auto"/>
              <w:rPr>
                <w:rFonts w:ascii="Century Gothic Light" w:hAnsi="Century Gothic Light" w:eastAsia="Century Gothic Light" w:cs="Century Gothic Light"/>
                <w:color w:val="002F6C" w:themeColor="accent1" w:themeTint="FF" w:themeShade="FF"/>
                <w:sz w:val="22"/>
                <w:szCs w:val="22"/>
              </w:rPr>
            </w:pPr>
            <w:r w:rsidR="60B3559B">
              <w:rPr/>
              <w:t>Co-author, “Decision and Post-Decision Proceedings in the Court of Appeals,” Arizona Appellate Handbook 2.0, 2020</w:t>
            </w:r>
          </w:p>
          <w:p w:rsidRPr="00B65F35" w:rsidR="00B65F35" w:rsidP="60B3559B" w:rsidRDefault="00A23A37" w14:paraId="0477ED85" w14:textId="02726594">
            <w:pPr>
              <w:pStyle w:val="ListParagraph"/>
              <w:numPr>
                <w:ilvl w:val="0"/>
                <w:numId w:val="1"/>
              </w:numPr>
              <w:suppressAutoHyphens/>
              <w:spacing w:line="240" w:lineRule="auto"/>
              <w:rPr>
                <w:rFonts w:ascii="Century Gothic Light" w:hAnsi="Century Gothic Light" w:eastAsia="Century Gothic Light" w:cs="Century Gothic Light"/>
                <w:color w:val="002F6C" w:themeColor="accent1" w:themeTint="FF" w:themeShade="FF"/>
                <w:sz w:val="22"/>
                <w:szCs w:val="22"/>
              </w:rPr>
            </w:pPr>
            <w:r w:rsidR="60B3559B">
              <w:rPr/>
              <w:t>Speaker, “Living Through Change: How the New Civil Practice Rules Are Working, And How They Will Affect You,” State Bar of Arizona 2019 Annual Convention, June 27, 2019</w:t>
            </w:r>
          </w:p>
          <w:p w:rsidRPr="00B65F35" w:rsidR="00B65F35" w:rsidP="60B3559B" w:rsidRDefault="00A23A37" w14:paraId="73382AF4" w14:textId="25744D3E">
            <w:pPr>
              <w:pStyle w:val="ListParagraph"/>
              <w:numPr>
                <w:ilvl w:val="0"/>
                <w:numId w:val="1"/>
              </w:numPr>
              <w:suppressAutoHyphens/>
              <w:spacing w:line="240" w:lineRule="auto"/>
              <w:rPr>
                <w:rFonts w:ascii="Century Gothic Light" w:hAnsi="Century Gothic Light" w:eastAsia="Century Gothic Light" w:cs="Century Gothic Light"/>
                <w:color w:val="002F6C" w:themeColor="accent1" w:themeTint="FF" w:themeShade="FF"/>
                <w:sz w:val="22"/>
                <w:szCs w:val="22"/>
              </w:rPr>
            </w:pPr>
            <w:r w:rsidR="60B3559B">
              <w:rPr/>
              <w:t>Speaker, "Not So Stranger Things: Becoming Acquainted with Arizona's New Civil Rules," State Bar of Arizona 2018 Annual Convention, June 27, 2018</w:t>
            </w:r>
          </w:p>
          <w:p w:rsidRPr="00B65F35" w:rsidR="00B65F35" w:rsidP="60B3559B" w:rsidRDefault="00A23A37" w14:paraId="2B66D307" w14:textId="5BC6E6CA">
            <w:pPr>
              <w:pStyle w:val="ListParagraph"/>
              <w:numPr>
                <w:ilvl w:val="0"/>
                <w:numId w:val="1"/>
              </w:numPr>
              <w:suppressAutoHyphens/>
              <w:spacing w:line="240" w:lineRule="auto"/>
              <w:rPr>
                <w:rFonts w:ascii="Century Gothic Light" w:hAnsi="Century Gothic Light" w:eastAsia="Century Gothic Light" w:cs="Century Gothic Light"/>
                <w:color w:val="002F6C" w:themeColor="accent1" w:themeTint="FF" w:themeShade="FF"/>
                <w:sz w:val="22"/>
                <w:szCs w:val="22"/>
              </w:rPr>
            </w:pPr>
            <w:r w:rsidR="60B3559B">
              <w:rPr/>
              <w:t>Co-author, Arizona Attorneys’ Fees Manual 6th ed., 2017</w:t>
            </w:r>
          </w:p>
        </w:tc>
      </w:tr>
      <w:tr w:rsidR="002C3A7D" w:rsidTr="029B5EC0" w14:paraId="725D9D5D" w14:textId="77777777">
        <w:trPr>
          <w:trHeight w:val="288"/>
        </w:trPr>
        <w:tc>
          <w:tcPr>
            <w:tcW w:w="10299" w:type="dxa"/>
            <w:tcMar/>
          </w:tcPr>
          <w:p w:rsidRPr="008F5DD7" w:rsidR="002C3A7D" w:rsidP="00996259" w:rsidRDefault="002C3A7D" w14:paraId="10B106C6" w14:textId="77777777">
            <w:pPr>
              <w:pStyle w:val="BasicParagraph"/>
              <w:rPr>
                <w:rFonts w:ascii="Century Gothic Light" w:hAnsi="Century Gothic Light" w:cs="Century Gothic Light"/>
                <w:caps/>
                <w:color w:val="F5821F"/>
                <w:szCs w:val="28"/>
              </w:rPr>
            </w:pPr>
          </w:p>
        </w:tc>
      </w:tr>
      <w:tr w:rsidR="00CD0CBC" w:rsidTr="029B5EC0" w14:paraId="51D255DE" w14:textId="77777777">
        <w:trPr>
          <w:trHeight w:val="288"/>
        </w:trPr>
        <w:tc>
          <w:tcPr>
            <w:tcW w:w="10299" w:type="dxa"/>
            <w:tcMar/>
          </w:tcPr>
          <w:p w:rsidRPr="00996259" w:rsidR="00CD0CBC" w:rsidP="00CD0CBC" w:rsidRDefault="00CD0CBC" w14:paraId="36147B76" w14:textId="5E020CC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A23A37" w:rsidR="00A23A37" w:rsidP="00A23A37" w:rsidRDefault="00A23A37" w14:paraId="60164BB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Member, O’Connor Institute Emerging Leaders Network</w:t>
            </w:r>
          </w:p>
          <w:p w:rsidRPr="00A23A37" w:rsidR="00A23A37" w:rsidP="00A23A37" w:rsidRDefault="00A23A37" w14:paraId="5263317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Board Member, Florence Immigrant and Refugee Rights Project</w:t>
            </w:r>
          </w:p>
          <w:p w:rsidRPr="00A23A37" w:rsidR="00A23A37" w:rsidP="00A23A37" w:rsidRDefault="00A23A37" w14:paraId="426DDD2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Member, Civil Practice and Procedure Committee, State Bar of Arizona</w:t>
            </w:r>
          </w:p>
          <w:p w:rsidRPr="00A23A37" w:rsidR="00A23A37" w:rsidP="00A23A37" w:rsidRDefault="00A23A37" w14:paraId="0BCAE89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Volunteer, Chrysalis Domestic Violence Shelter, 2014–present</w:t>
            </w:r>
          </w:p>
          <w:p w:rsidRPr="00A23A37" w:rsidR="00A23A37" w:rsidP="00A23A37" w:rsidRDefault="00A23A37" w14:paraId="024A534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Volunteer, Volunteer Lawyer's Program</w:t>
            </w:r>
          </w:p>
          <w:p w:rsidRPr="00CD0CBC" w:rsidR="00CD0CBC" w:rsidP="00A23A37" w:rsidRDefault="00A23A37" w14:paraId="581251A0" w14:textId="786ABEB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Member, Board of Directors, Arizona Industries for the Blind</w:t>
            </w:r>
          </w:p>
        </w:tc>
      </w:tr>
      <w:tr w:rsidR="00CD0CBC" w:rsidTr="029B5EC0" w14:paraId="69C9E0FE" w14:textId="77777777">
        <w:trPr>
          <w:trHeight w:val="288"/>
        </w:trPr>
        <w:tc>
          <w:tcPr>
            <w:tcW w:w="10299" w:type="dxa"/>
            <w:tcMar/>
          </w:tcPr>
          <w:p w:rsidRPr="008F5DD7" w:rsidR="00CD0CBC" w:rsidP="00996259" w:rsidRDefault="00CD0CBC" w14:paraId="47E6514D" w14:textId="77777777">
            <w:pPr>
              <w:pStyle w:val="BasicParagraph"/>
              <w:rPr>
                <w:rFonts w:ascii="Century Gothic Light" w:hAnsi="Century Gothic Light" w:cs="Century Gothic Light"/>
                <w:caps/>
                <w:color w:val="F5821F"/>
                <w:szCs w:val="28"/>
              </w:rPr>
            </w:pPr>
          </w:p>
        </w:tc>
      </w:tr>
      <w:tr w:rsidR="00996259" w:rsidTr="029B5EC0"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A23A37" w:rsidR="00A23A37" w:rsidP="00A23A37" w:rsidRDefault="00A23A37" w14:paraId="3901FDE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Arizona</w:t>
            </w:r>
          </w:p>
          <w:p w:rsidRPr="00A23A37" w:rsidR="00A23A37" w:rsidP="00A23A37" w:rsidRDefault="00A23A37" w14:paraId="1C77504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U.S. District Court, District of Arizona</w:t>
            </w:r>
          </w:p>
          <w:p w:rsidRPr="00A23A37" w:rsidR="00A23A37" w:rsidP="00A23A37" w:rsidRDefault="00A23A37" w14:paraId="285086B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U.S. District Court, Western District of Texas</w:t>
            </w:r>
          </w:p>
          <w:p w:rsidRPr="00A23A37" w:rsidR="00A23A37" w:rsidP="00A23A37" w:rsidRDefault="00A23A37" w14:paraId="344C23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U.S. Court of Appeals, Ninth Circuit</w:t>
            </w:r>
          </w:p>
          <w:p w:rsidRPr="00A23A37" w:rsidR="00A23A37" w:rsidP="00A23A37" w:rsidRDefault="00A23A37" w14:paraId="680047A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lastRenderedPageBreak/>
              <w:t>U.S. Court of Appeals, Tenth Circuit</w:t>
            </w:r>
          </w:p>
          <w:p w:rsidRPr="004409F8" w:rsidR="005D63B5" w:rsidP="00A23A37" w:rsidRDefault="00A23A37" w14:paraId="044073AE" w14:textId="6DC8F1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U.S. Supreme Court</w:t>
            </w:r>
          </w:p>
        </w:tc>
      </w:tr>
    </w:tbl>
    <w:p w:rsidR="008700A0" w:rsidP="00A23A37"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75C8B" w:rsidP="008700A0" w:rsidRDefault="00475C8B" w14:paraId="5DB0E10A" w14:textId="77777777">
      <w:pPr>
        <w:spacing w:after="0" w:line="240" w:lineRule="auto"/>
      </w:pPr>
      <w:r>
        <w:separator/>
      </w:r>
    </w:p>
  </w:endnote>
  <w:endnote w:type="continuationSeparator" w:id="0">
    <w:p w:rsidR="00475C8B" w:rsidP="008700A0" w:rsidRDefault="00475C8B" w14:paraId="19DE7F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75C8B" w:rsidP="008700A0" w:rsidRDefault="00475C8B" w14:paraId="19ABBCB4" w14:textId="77777777">
      <w:pPr>
        <w:spacing w:after="0" w:line="240" w:lineRule="auto"/>
      </w:pPr>
      <w:r>
        <w:separator/>
      </w:r>
    </w:p>
  </w:footnote>
  <w:footnote w:type="continuationSeparator" w:id="0">
    <w:p w:rsidR="00475C8B" w:rsidP="008700A0" w:rsidRDefault="00475C8B" w14:paraId="116072B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074E434F">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2E45B8A1">
    <w:pPr>
      <w:pStyle w:val="Header"/>
    </w:pPr>
    <w:r>
      <w:rPr>
        <w:noProof/>
      </w:rPr>
      <w:drawing>
        <wp:anchor distT="0" distB="0" distL="114300" distR="114300" simplePos="0" relativeHeight="251658240" behindDoc="1" locked="0" layoutInCell="1" allowOverlap="1" wp14:anchorId="26867CE0" wp14:editId="5FF166DB">
          <wp:simplePos x="0" y="0"/>
          <wp:positionH relativeFrom="margin">
            <wp:posOffset>-457200</wp:posOffset>
          </wp:positionH>
          <wp:positionV relativeFrom="margin">
            <wp:posOffset>-467360</wp:posOffset>
          </wp:positionV>
          <wp:extent cx="7772355" cy="10058341"/>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5" cy="10058341"/>
                  </a:xfrm>
                  <a:prstGeom prst="rect">
                    <a:avLst/>
                  </a:prstGeom>
                </pic:spPr>
              </pic:pic>
            </a:graphicData>
          </a:graphic>
          <wp14:sizeRelH relativeFrom="page">
            <wp14:pctWidth>0</wp14:pctWidth>
          </wp14:sizeRelH>
          <wp14:sizeRelV relativeFrom="page">
            <wp14:pctHeight>0</wp14:pctHeight>
          </wp14:sizeRelV>
        </wp:anchor>
      </w:drawing>
    </w:r>
    <w:r w:rsidR="009E25D3">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D4F3E9A"/>
    <w:multiLevelType w:val="multilevel"/>
    <w:tmpl w:val="9FCE31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EAE4FFE"/>
    <w:multiLevelType w:val="hybridMultilevel"/>
    <w:tmpl w:val="92D0E0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5"/>
  </w:num>
  <w:num w:numId="2">
    <w:abstractNumId w:val="6"/>
  </w:num>
  <w:num w:numId="3">
    <w:abstractNumId w:val="17"/>
  </w:num>
  <w:num w:numId="4">
    <w:abstractNumId w:val="4"/>
  </w:num>
  <w:num w:numId="5">
    <w:abstractNumId w:val="5"/>
  </w:num>
  <w:num w:numId="6">
    <w:abstractNumId w:val="21"/>
  </w:num>
  <w:num w:numId="7">
    <w:abstractNumId w:val="20"/>
  </w:num>
  <w:num w:numId="8">
    <w:abstractNumId w:val="16"/>
  </w:num>
  <w:num w:numId="9">
    <w:abstractNumId w:val="8"/>
  </w:num>
  <w:num w:numId="10">
    <w:abstractNumId w:val="13"/>
  </w:num>
  <w:num w:numId="11">
    <w:abstractNumId w:val="22"/>
  </w:num>
  <w:num w:numId="12">
    <w:abstractNumId w:val="9"/>
  </w:num>
  <w:num w:numId="13">
    <w:abstractNumId w:val="2"/>
  </w:num>
  <w:num w:numId="14">
    <w:abstractNumId w:val="26"/>
  </w:num>
  <w:num w:numId="15">
    <w:abstractNumId w:val="27"/>
  </w:num>
  <w:num w:numId="16">
    <w:abstractNumId w:val="14"/>
  </w:num>
  <w:num w:numId="17">
    <w:abstractNumId w:val="15"/>
  </w:num>
  <w:num w:numId="18">
    <w:abstractNumId w:val="1"/>
  </w:num>
  <w:num w:numId="19">
    <w:abstractNumId w:val="19"/>
  </w:num>
  <w:num w:numId="20">
    <w:abstractNumId w:val="23"/>
  </w:num>
  <w:num w:numId="21">
    <w:abstractNumId w:val="10"/>
  </w:num>
  <w:num w:numId="22">
    <w:abstractNumId w:val="28"/>
  </w:num>
  <w:num w:numId="23">
    <w:abstractNumId w:val="11"/>
  </w:num>
  <w:num w:numId="24">
    <w:abstractNumId w:val="18"/>
  </w:num>
  <w:num w:numId="25">
    <w:abstractNumId w:val="7"/>
  </w:num>
  <w:num w:numId="26">
    <w:abstractNumId w:val="12"/>
  </w:num>
  <w:num w:numId="27">
    <w:abstractNumId w:val="3"/>
  </w:num>
  <w:num w:numId="28">
    <w:abstractNumId w:val="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44EC9"/>
    <w:rsid w:val="00053A2B"/>
    <w:rsid w:val="0005599F"/>
    <w:rsid w:val="000630A2"/>
    <w:rsid w:val="000665FD"/>
    <w:rsid w:val="000B29E6"/>
    <w:rsid w:val="000B476F"/>
    <w:rsid w:val="000D2207"/>
    <w:rsid w:val="000E3ECF"/>
    <w:rsid w:val="000F6FAD"/>
    <w:rsid w:val="00100BB9"/>
    <w:rsid w:val="001138EA"/>
    <w:rsid w:val="00113B87"/>
    <w:rsid w:val="0012182A"/>
    <w:rsid w:val="00124890"/>
    <w:rsid w:val="0013703F"/>
    <w:rsid w:val="0016204E"/>
    <w:rsid w:val="0017186D"/>
    <w:rsid w:val="0019269A"/>
    <w:rsid w:val="00195C58"/>
    <w:rsid w:val="00197DFC"/>
    <w:rsid w:val="001C6685"/>
    <w:rsid w:val="001F1000"/>
    <w:rsid w:val="00216E51"/>
    <w:rsid w:val="00217188"/>
    <w:rsid w:val="0021738A"/>
    <w:rsid w:val="002460BC"/>
    <w:rsid w:val="00253B2D"/>
    <w:rsid w:val="002548B5"/>
    <w:rsid w:val="002567FF"/>
    <w:rsid w:val="00266E0F"/>
    <w:rsid w:val="00283B5C"/>
    <w:rsid w:val="00290ABD"/>
    <w:rsid w:val="00290F41"/>
    <w:rsid w:val="00295769"/>
    <w:rsid w:val="002A2E90"/>
    <w:rsid w:val="002B5A72"/>
    <w:rsid w:val="002C3A7D"/>
    <w:rsid w:val="002D3D26"/>
    <w:rsid w:val="002D5A17"/>
    <w:rsid w:val="002E51EB"/>
    <w:rsid w:val="00312CFC"/>
    <w:rsid w:val="003203C6"/>
    <w:rsid w:val="0032458F"/>
    <w:rsid w:val="00324613"/>
    <w:rsid w:val="00325FC1"/>
    <w:rsid w:val="00332C98"/>
    <w:rsid w:val="00333AD5"/>
    <w:rsid w:val="00340AE6"/>
    <w:rsid w:val="00345563"/>
    <w:rsid w:val="00365E0B"/>
    <w:rsid w:val="00371E4C"/>
    <w:rsid w:val="003779A7"/>
    <w:rsid w:val="00377FE6"/>
    <w:rsid w:val="00381287"/>
    <w:rsid w:val="00383C77"/>
    <w:rsid w:val="0039208F"/>
    <w:rsid w:val="003D6259"/>
    <w:rsid w:val="00405313"/>
    <w:rsid w:val="004409F8"/>
    <w:rsid w:val="00442803"/>
    <w:rsid w:val="004533D0"/>
    <w:rsid w:val="00475C8B"/>
    <w:rsid w:val="00497F4D"/>
    <w:rsid w:val="004B0B42"/>
    <w:rsid w:val="004B0FA7"/>
    <w:rsid w:val="00515DE9"/>
    <w:rsid w:val="00517E18"/>
    <w:rsid w:val="005430CB"/>
    <w:rsid w:val="005501CE"/>
    <w:rsid w:val="00551687"/>
    <w:rsid w:val="00566492"/>
    <w:rsid w:val="005777E4"/>
    <w:rsid w:val="00587218"/>
    <w:rsid w:val="00590A25"/>
    <w:rsid w:val="005A05EE"/>
    <w:rsid w:val="005A0F4F"/>
    <w:rsid w:val="005B4C1E"/>
    <w:rsid w:val="005D3709"/>
    <w:rsid w:val="005D63B5"/>
    <w:rsid w:val="005F080B"/>
    <w:rsid w:val="00617B93"/>
    <w:rsid w:val="00644C31"/>
    <w:rsid w:val="00655093"/>
    <w:rsid w:val="006B14E5"/>
    <w:rsid w:val="006C3477"/>
    <w:rsid w:val="006E37F9"/>
    <w:rsid w:val="00706534"/>
    <w:rsid w:val="00712D7B"/>
    <w:rsid w:val="00733A23"/>
    <w:rsid w:val="0076317B"/>
    <w:rsid w:val="00772ABB"/>
    <w:rsid w:val="00772C3A"/>
    <w:rsid w:val="00772D57"/>
    <w:rsid w:val="00795E7E"/>
    <w:rsid w:val="007C3820"/>
    <w:rsid w:val="007C384C"/>
    <w:rsid w:val="007D2922"/>
    <w:rsid w:val="007D66E7"/>
    <w:rsid w:val="007F0A23"/>
    <w:rsid w:val="007F2B89"/>
    <w:rsid w:val="007F5739"/>
    <w:rsid w:val="008124A3"/>
    <w:rsid w:val="008235A9"/>
    <w:rsid w:val="00841578"/>
    <w:rsid w:val="0086010D"/>
    <w:rsid w:val="00863372"/>
    <w:rsid w:val="008700A0"/>
    <w:rsid w:val="00871F27"/>
    <w:rsid w:val="00886858"/>
    <w:rsid w:val="008A29E8"/>
    <w:rsid w:val="008A6430"/>
    <w:rsid w:val="008B0E1C"/>
    <w:rsid w:val="008B5251"/>
    <w:rsid w:val="008D168A"/>
    <w:rsid w:val="008D5FA8"/>
    <w:rsid w:val="008D6B2D"/>
    <w:rsid w:val="008E06BB"/>
    <w:rsid w:val="008E6056"/>
    <w:rsid w:val="008F5DD7"/>
    <w:rsid w:val="0090447A"/>
    <w:rsid w:val="009067C3"/>
    <w:rsid w:val="00911A93"/>
    <w:rsid w:val="00920E7D"/>
    <w:rsid w:val="009366B8"/>
    <w:rsid w:val="00937844"/>
    <w:rsid w:val="009467F1"/>
    <w:rsid w:val="00950ADB"/>
    <w:rsid w:val="00980BCA"/>
    <w:rsid w:val="00996259"/>
    <w:rsid w:val="0099759E"/>
    <w:rsid w:val="009A5C44"/>
    <w:rsid w:val="009B6F0B"/>
    <w:rsid w:val="009E25D3"/>
    <w:rsid w:val="009E44D4"/>
    <w:rsid w:val="009F59F7"/>
    <w:rsid w:val="009F7119"/>
    <w:rsid w:val="00A01755"/>
    <w:rsid w:val="00A10950"/>
    <w:rsid w:val="00A23A37"/>
    <w:rsid w:val="00A44AD9"/>
    <w:rsid w:val="00A46A51"/>
    <w:rsid w:val="00A51833"/>
    <w:rsid w:val="00A52F24"/>
    <w:rsid w:val="00A87D32"/>
    <w:rsid w:val="00AA6CBE"/>
    <w:rsid w:val="00AB1A97"/>
    <w:rsid w:val="00AB20C4"/>
    <w:rsid w:val="00AC17A3"/>
    <w:rsid w:val="00AC5754"/>
    <w:rsid w:val="00AC5E5A"/>
    <w:rsid w:val="00AD3BB1"/>
    <w:rsid w:val="00AD3FAF"/>
    <w:rsid w:val="00AE1C23"/>
    <w:rsid w:val="00B2311A"/>
    <w:rsid w:val="00B306A1"/>
    <w:rsid w:val="00B4389A"/>
    <w:rsid w:val="00B65F35"/>
    <w:rsid w:val="00B664FF"/>
    <w:rsid w:val="00B71747"/>
    <w:rsid w:val="00B779C2"/>
    <w:rsid w:val="00B9401F"/>
    <w:rsid w:val="00B95D5D"/>
    <w:rsid w:val="00BA0567"/>
    <w:rsid w:val="00BA0C8B"/>
    <w:rsid w:val="00BA5277"/>
    <w:rsid w:val="00BC1370"/>
    <w:rsid w:val="00BC268B"/>
    <w:rsid w:val="00BF495D"/>
    <w:rsid w:val="00C15349"/>
    <w:rsid w:val="00C23A89"/>
    <w:rsid w:val="00C251B7"/>
    <w:rsid w:val="00C3111D"/>
    <w:rsid w:val="00C314DA"/>
    <w:rsid w:val="00C56245"/>
    <w:rsid w:val="00C61BBC"/>
    <w:rsid w:val="00C727B6"/>
    <w:rsid w:val="00C924F2"/>
    <w:rsid w:val="00CA17A1"/>
    <w:rsid w:val="00CA1952"/>
    <w:rsid w:val="00CC750D"/>
    <w:rsid w:val="00CD0CBC"/>
    <w:rsid w:val="00CD15B0"/>
    <w:rsid w:val="00CF5C24"/>
    <w:rsid w:val="00D01099"/>
    <w:rsid w:val="00D21AD2"/>
    <w:rsid w:val="00D23AE3"/>
    <w:rsid w:val="00D3611B"/>
    <w:rsid w:val="00D42771"/>
    <w:rsid w:val="00D90933"/>
    <w:rsid w:val="00DC046C"/>
    <w:rsid w:val="00DD3DB3"/>
    <w:rsid w:val="00DD7C9B"/>
    <w:rsid w:val="00DE0E91"/>
    <w:rsid w:val="00DE2EDC"/>
    <w:rsid w:val="00DE4410"/>
    <w:rsid w:val="00E0643E"/>
    <w:rsid w:val="00E10978"/>
    <w:rsid w:val="00E4405C"/>
    <w:rsid w:val="00E4433C"/>
    <w:rsid w:val="00E51AB5"/>
    <w:rsid w:val="00E56901"/>
    <w:rsid w:val="00E73E32"/>
    <w:rsid w:val="00E86700"/>
    <w:rsid w:val="00E93958"/>
    <w:rsid w:val="00EA38F6"/>
    <w:rsid w:val="00ED2D47"/>
    <w:rsid w:val="00EE7F20"/>
    <w:rsid w:val="00F03F17"/>
    <w:rsid w:val="00F20691"/>
    <w:rsid w:val="00F23DC3"/>
    <w:rsid w:val="00F30264"/>
    <w:rsid w:val="00F449D6"/>
    <w:rsid w:val="00F50B1D"/>
    <w:rsid w:val="00F721AA"/>
    <w:rsid w:val="00F87B62"/>
    <w:rsid w:val="00FB06C0"/>
    <w:rsid w:val="00FC5E49"/>
    <w:rsid w:val="00FE7C92"/>
    <w:rsid w:val="029B5EC0"/>
    <w:rsid w:val="60B35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281496004">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11</revision>
  <lastPrinted>2021-01-06T16:46:00.0000000Z</lastPrinted>
  <dcterms:created xsi:type="dcterms:W3CDTF">2020-08-13T15:40:00.0000000Z</dcterms:created>
  <dcterms:modified xsi:type="dcterms:W3CDTF">2022-07-13T21:05:48.8804141Z</dcterms:modified>
</coreProperties>
</file>