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BRANDON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PEEVY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bpeevy@fennemorelaw.com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57;top:2156;width:3215;height:505" id="docshape5" coordorigin="5558,2156" coordsize="3215,505" path="m8772,2653l5558,2653,5558,2661,8772,2661,8772,2653xm8772,2156l5558,2156,5558,2165,8772,2165,877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BRANDON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PEEVY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bpeevy@fennemorelaw.com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BRANDON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PEEVY</w:t>
      </w:r>
    </w:p>
    <w:p>
      <w:pPr>
        <w:pStyle w:val="BodyText"/>
        <w:ind w:left="104"/>
      </w:pPr>
      <w:r>
        <w:rPr>
          <w:color w:val="6E6158"/>
        </w:rPr>
        <w:t>Brandon</w:t>
      </w:r>
      <w:r>
        <w:rPr>
          <w:color w:val="6E6158"/>
          <w:spacing w:val="14"/>
        </w:rPr>
        <w:t> </w:t>
      </w:r>
      <w:r>
        <w:rPr>
          <w:color w:val="6E6158"/>
        </w:rPr>
        <w:t>Peevy</w:t>
      </w:r>
      <w:r>
        <w:rPr>
          <w:color w:val="6E6158"/>
          <w:spacing w:val="14"/>
        </w:rPr>
        <w:t> </w:t>
      </w:r>
      <w:r>
        <w:rPr>
          <w:color w:val="6E6158"/>
        </w:rPr>
        <w:t>is</w:t>
      </w:r>
      <w:r>
        <w:rPr>
          <w:color w:val="6E6158"/>
          <w:spacing w:val="14"/>
        </w:rPr>
        <w:t> </w:t>
      </w:r>
      <w:r>
        <w:rPr>
          <w:color w:val="6E6158"/>
        </w:rPr>
        <w:t>an</w:t>
      </w:r>
      <w:r>
        <w:rPr>
          <w:color w:val="6E6158"/>
          <w:spacing w:val="14"/>
        </w:rPr>
        <w:t> </w:t>
      </w:r>
      <w:r>
        <w:rPr>
          <w:color w:val="6E6158"/>
        </w:rPr>
        <w:t>associate</w:t>
      </w:r>
      <w:r>
        <w:rPr>
          <w:color w:val="6E6158"/>
          <w:spacing w:val="14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Fennemore’s</w:t>
      </w:r>
      <w:r>
        <w:rPr>
          <w:color w:val="6E6158"/>
          <w:spacing w:val="14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Litigation</w:t>
        </w:r>
      </w:hyperlink>
      <w:r>
        <w:rPr>
          <w:color w:val="F5821F"/>
          <w:spacing w:val="15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group.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0"/>
        <w:ind w:left="104" w:right="639"/>
      </w:pPr>
      <w:r>
        <w:rPr>
          <w:color w:val="6E6158"/>
        </w:rPr>
        <w:t>Brandon received his J.D. from the University of California, Los Angeles School of Law. During his</w:t>
      </w:r>
      <w:r>
        <w:rPr>
          <w:color w:val="6E6158"/>
          <w:spacing w:val="40"/>
        </w:rPr>
        <w:t> </w:t>
      </w:r>
      <w:r>
        <w:rPr>
          <w:color w:val="6E6158"/>
        </w:rPr>
        <w:t>time in law school, Brandon served as the Vice President of Judges on the UCLA Moot Court</w:t>
      </w:r>
      <w:r>
        <w:rPr>
          <w:color w:val="6E6158"/>
          <w:spacing w:val="40"/>
        </w:rPr>
        <w:t> </w:t>
      </w:r>
      <w:r>
        <w:rPr>
          <w:color w:val="6E6158"/>
        </w:rPr>
        <w:t>Honors Board as well as the Chief Managing Editor for the Journal of International Law and</w:t>
      </w:r>
      <w:r>
        <w:rPr>
          <w:color w:val="6E6158"/>
          <w:spacing w:val="40"/>
        </w:rPr>
        <w:t> </w:t>
      </w:r>
      <w:r>
        <w:rPr>
          <w:color w:val="6E6158"/>
        </w:rPr>
        <w:t>Foreign Affairs and a Managing Editor for the Journal of Law and Technology. He also volunteered in two legal clinics while at UCLA: the First Amendment Amicus Clinic and the El</w:t>
      </w:r>
      <w:r>
        <w:rPr>
          <w:color w:val="6E6158"/>
          <w:spacing w:val="40"/>
        </w:rPr>
        <w:t> </w:t>
      </w:r>
      <w:r>
        <w:rPr>
          <w:color w:val="6E6158"/>
        </w:rPr>
        <w:t>Centro Legal Clinic.</w:t>
      </w:r>
    </w:p>
    <w:p>
      <w:pPr>
        <w:pStyle w:val="BodyText"/>
        <w:spacing w:line="297" w:lineRule="auto" w:before="193"/>
        <w:ind w:left="104" w:right="579"/>
      </w:pPr>
      <w:r>
        <w:rPr>
          <w:color w:val="6E6158"/>
        </w:rPr>
        <w:t>Prior to joining Fennemore as an associate, Brandon served as a summer associate in</w:t>
      </w:r>
      <w:r>
        <w:rPr>
          <w:color w:val="6E6158"/>
          <w:spacing w:val="80"/>
        </w:rPr>
        <w:t> </w:t>
      </w:r>
      <w:r>
        <w:rPr>
          <w:color w:val="6E6158"/>
        </w:rPr>
        <w:t>Fennemore’s Las Vegas Office as well as a legal extern at the United States Attorney’s Office for</w:t>
      </w:r>
      <w:r>
        <w:rPr>
          <w:color w:val="6E6158"/>
          <w:spacing w:val="40"/>
        </w:rPr>
        <w:t> </w:t>
      </w:r>
      <w:r>
        <w:rPr>
          <w:color w:val="6E6158"/>
        </w:rPr>
        <w:t>the Central District of California.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39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152930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762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416463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385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Los Angeles, School of </w:t>
      </w:r>
      <w:r>
        <w:rPr>
          <w:color w:val="6E6158"/>
        </w:rPr>
        <w:t>Law</w:t>
      </w:r>
      <w:r>
        <w:rPr>
          <w:color w:val="6E6158"/>
        </w:rPr>
        <w:t> B.A., Pomona College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152605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164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46"/>
        <w:ind w:right="5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152338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175pt;width:1.65pt;height:1.65pt;mso-position-horizontal-relative:page;mso-position-vertical-relative:paragraph;z-index:15730688" id="docshape10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410704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38924pt;width:1.65pt;height:1.65pt;mso-position-horizontal-relative:page;mso-position-vertical-relative:paragraph;z-index:15731200" id="docshape11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Christian Legal Society Member,</w:t>
      </w:r>
      <w:r>
        <w:rPr>
          <w:color w:val="6E6158"/>
          <w:spacing w:val="6"/>
        </w:rPr>
        <w:t> </w:t>
      </w:r>
      <w:r>
        <w:rPr>
          <w:color w:val="6E6158"/>
        </w:rPr>
        <w:t>Federal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152634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439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bpeev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2025-01-06T16:53:12Z</dcterms:created>
  <dcterms:modified xsi:type="dcterms:W3CDTF">2025-01-06T16:53:12Z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