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6437" y="1369338"/>
                            <a:ext cx="190690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320675">
                                <a:moveTo>
                                  <a:pt x="1906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06739" y="320382"/>
                                </a:lnTo>
                                <a:lnTo>
                                  <a:pt x="1906739" y="315214"/>
                                </a:lnTo>
                                <a:close/>
                              </a:path>
                              <a:path w="1906905" h="320675">
                                <a:moveTo>
                                  <a:pt x="1906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06739" y="5168"/>
                                </a:lnTo>
                                <a:lnTo>
                                  <a:pt x="1906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JAKE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TIERNAN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303.813.3892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jtiernan@fennemorelaw.com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63;top:2156;width:3003;height:505" id="docshape5" coordorigin="5664,2156" coordsize="3003,505" path="m8666,2653l5664,2653,5664,2661,8666,2661,8666,2653xm8666,2156l5664,2156,5664,2165,8666,2165,866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JAKE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TIERNAN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303.813.3892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jtiernan@fennemorelaw.com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JAKE</w:t>
      </w:r>
      <w:r>
        <w:rPr>
          <w:color w:val="FF8100"/>
          <w:spacing w:val="4"/>
        </w:rPr>
        <w:t> </w:t>
      </w: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TIERNAN</w:t>
      </w:r>
    </w:p>
    <w:p>
      <w:pPr>
        <w:pStyle w:val="BodyText"/>
        <w:spacing w:line="297" w:lineRule="auto"/>
        <w:ind w:right="580"/>
      </w:pPr>
      <w:r>
        <w:rPr>
          <w:color w:val="6E6158"/>
        </w:rPr>
        <w:t>Jake’s practice focuses on real estate and transactional matters, such as reviewing commercial</w:t>
      </w:r>
      <w:r>
        <w:rPr>
          <w:color w:val="6E6158"/>
          <w:spacing w:val="40"/>
        </w:rPr>
        <w:t> </w:t>
      </w:r>
      <w:r>
        <w:rPr>
          <w:color w:val="6E6158"/>
        </w:rPr>
        <w:t>loan documents, negotiating commercial and residential purchase and sale agreements,</w:t>
      </w:r>
      <w:r>
        <w:rPr>
          <w:color w:val="6E6158"/>
          <w:spacing w:val="40"/>
        </w:rPr>
        <w:t> </w:t>
      </w:r>
      <w:r>
        <w:rPr>
          <w:color w:val="6E6158"/>
        </w:rPr>
        <w:t>demand</w:t>
      </w:r>
      <w:r>
        <w:rPr>
          <w:color w:val="6E6158"/>
          <w:spacing w:val="40"/>
        </w:rPr>
        <w:t> </w:t>
      </w:r>
      <w:r>
        <w:rPr>
          <w:color w:val="6E6158"/>
        </w:rPr>
        <w:t>letters,</w:t>
      </w:r>
      <w:r>
        <w:rPr>
          <w:color w:val="6E6158"/>
          <w:spacing w:val="40"/>
        </w:rPr>
        <w:t> </w:t>
      </w:r>
      <w:r>
        <w:rPr>
          <w:color w:val="6E6158"/>
        </w:rPr>
        <w:t>contracts,</w:t>
      </w:r>
      <w:r>
        <w:rPr>
          <w:color w:val="6E6158"/>
          <w:spacing w:val="40"/>
        </w:rPr>
        <w:t> </w:t>
      </w:r>
      <w:r>
        <w:rPr>
          <w:color w:val="6E6158"/>
        </w:rPr>
        <w:t>acquisitions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dispositions,</w:t>
      </w:r>
      <w:r>
        <w:rPr>
          <w:color w:val="6E6158"/>
          <w:spacing w:val="40"/>
        </w:rPr>
        <w:t> </w:t>
      </w:r>
      <w:r>
        <w:rPr>
          <w:color w:val="6E6158"/>
        </w:rPr>
        <w:t>easements,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lease</w:t>
      </w:r>
      <w:r>
        <w:rPr>
          <w:color w:val="6E6158"/>
          <w:spacing w:val="40"/>
        </w:rPr>
        <w:t> </w:t>
      </w:r>
      <w:r>
        <w:rPr>
          <w:color w:val="6E6158"/>
        </w:rPr>
        <w:t>agreements.</w:t>
      </w:r>
    </w:p>
    <w:p>
      <w:pPr>
        <w:pStyle w:val="BodyText"/>
        <w:spacing w:line="302" w:lineRule="auto" w:before="0"/>
        <w:ind w:right="580"/>
      </w:pPr>
      <w:r>
        <w:rPr>
          <w:color w:val="6E6158"/>
        </w:rPr>
        <w:t>Jake represents landlords and tenants in lease negotiations for properties of all types including</w:t>
      </w:r>
      <w:r>
        <w:rPr>
          <w:color w:val="6E6158"/>
          <w:spacing w:val="40"/>
        </w:rPr>
        <w:t> </w:t>
      </w:r>
      <w:r>
        <w:rPr>
          <w:color w:val="6E6158"/>
        </w:rPr>
        <w:t>office, retail, mixed-use, and industrial spaces.</w:t>
      </w:r>
    </w:p>
    <w:p>
      <w:pPr>
        <w:pStyle w:val="BodyText"/>
        <w:spacing w:line="295" w:lineRule="auto" w:before="182"/>
        <w:ind w:right="580"/>
      </w:pPr>
      <w:r>
        <w:rPr>
          <w:color w:val="6E6158"/>
        </w:rPr>
        <w:t>As the Vice-Chair for the firm’s Real Estate Section, Jake strives to be efficiently responsive to</w:t>
      </w:r>
      <w:r>
        <w:rPr>
          <w:color w:val="6E6158"/>
          <w:spacing w:val="40"/>
        </w:rPr>
        <w:t> </w:t>
      </w:r>
      <w:r>
        <w:rPr>
          <w:color w:val="6E6158"/>
        </w:rPr>
        <w:t>clients for their case inquiries and questions. His section is known for creating full-service legal</w:t>
      </w:r>
      <w:r>
        <w:rPr>
          <w:color w:val="6E6158"/>
          <w:spacing w:val="40"/>
        </w:rPr>
        <w:t> </w:t>
      </w:r>
      <w:r>
        <w:rPr>
          <w:color w:val="6E6158"/>
        </w:rPr>
        <w:t>teams using attorneys from across the firm to provide each client with comprehensive, one-stop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representation.</w:t>
      </w:r>
    </w:p>
    <w:p>
      <w:pPr>
        <w:pStyle w:val="BodyText"/>
        <w:spacing w:line="292" w:lineRule="auto" w:before="196"/>
        <w:ind w:right="580"/>
      </w:pPr>
      <w:r>
        <w:rPr>
          <w:color w:val="6E6158"/>
        </w:rPr>
        <w:t>Jake was previously an associate at a boutique Denver law firm, focusing his practice on 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acquisitions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dispositions.</w:t>
      </w:r>
      <w:r>
        <w:rPr>
          <w:color w:val="6E6158"/>
          <w:spacing w:val="24"/>
        </w:rPr>
        <w:t> </w:t>
      </w:r>
      <w:r>
        <w:rPr>
          <w:color w:val="6E6158"/>
        </w:rPr>
        <w:t>Outside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office,</w:t>
      </w:r>
      <w:r>
        <w:rPr>
          <w:color w:val="6E6158"/>
          <w:spacing w:val="24"/>
        </w:rPr>
        <w:t> </w:t>
      </w:r>
      <w:r>
        <w:rPr>
          <w:color w:val="6E6158"/>
        </w:rPr>
        <w:t>Jake</w:t>
      </w:r>
      <w:r>
        <w:rPr>
          <w:color w:val="6E6158"/>
          <w:spacing w:val="24"/>
        </w:rPr>
        <w:t> </w:t>
      </w:r>
      <w:r>
        <w:rPr>
          <w:color w:val="6E6158"/>
        </w:rPr>
        <w:t>enjoys</w:t>
      </w:r>
      <w:r>
        <w:rPr>
          <w:color w:val="6E6158"/>
          <w:spacing w:val="24"/>
        </w:rPr>
        <w:t> </w:t>
      </w:r>
      <w:r>
        <w:rPr>
          <w:color w:val="6E6158"/>
        </w:rPr>
        <w:t>spending</w:t>
      </w:r>
      <w:r>
        <w:rPr>
          <w:color w:val="6E6158"/>
          <w:spacing w:val="24"/>
        </w:rPr>
        <w:t> </w:t>
      </w:r>
      <w:r>
        <w:rPr>
          <w:color w:val="6E6158"/>
        </w:rPr>
        <w:t>time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</w:p>
    <w:p>
      <w:pPr>
        <w:pStyle w:val="BodyText"/>
        <w:spacing w:line="302" w:lineRule="auto" w:before="1"/>
        <w:ind w:right="580"/>
      </w:pPr>
      <w:r>
        <w:rPr>
          <w:color w:val="6E6158"/>
        </w:rPr>
        <w:t>family, traveling, skiing, snowboarding, home brewing, playing soccer and tennis, and </w:t>
      </w:r>
      <w:r>
        <w:rPr>
          <w:color w:val="6E6158"/>
        </w:rPr>
        <w:t>coaching</w:t>
      </w:r>
      <w:r>
        <w:rPr>
          <w:color w:val="6E6158"/>
          <w:spacing w:val="40"/>
        </w:rPr>
        <w:t> </w:t>
      </w:r>
      <w:r>
        <w:rPr>
          <w:color w:val="6E6158"/>
        </w:rPr>
        <w:t>his children’s soccer leagues.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2" w:lineRule="auto"/>
        <w:ind w:left="356" w:right="70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441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411330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8191pt;width:1.65pt;height:1.65pt;mso-position-horizontal-relative:page;mso-position-vertical-relative:paragraph;z-index:15729664" id="docshape8" coordorigin="1675,648" coordsize="33,33" path="m1696,680l1687,680,1683,679,1676,672,1675,669,1675,660,1676,656,1683,649,1687,648,1696,648,1699,649,1706,656,1707,660,1707,664,1707,669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674862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8813pt;width:1.65pt;height:1.65pt;mso-position-horizontal-relative:page;mso-position-vertical-relative:paragraph;z-index:15730176" id="docshape9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Denver</w:t>
      </w:r>
      <w:r>
        <w:rPr>
          <w:color w:val="6E6158"/>
        </w:rPr>
        <w:t> MBA, Maryville University B.A.,</w:t>
      </w:r>
      <w:r>
        <w:rPr>
          <w:color w:val="6E6158"/>
          <w:spacing w:val="13"/>
        </w:rPr>
        <w:t> </w:t>
      </w:r>
      <w:r>
        <w:rPr>
          <w:color w:val="6E6158"/>
        </w:rPr>
        <w:t>Rockhurst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</w:t>
      </w:r>
      <w:r>
        <w:rPr>
          <w:color w:val="6E6158"/>
          <w:spacing w:val="-2"/>
        </w:rPr>
        <w:t>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152762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54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39"/>
        <w:ind w:left="356" w:right="30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152495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51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436698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385674pt;width:1.65pt;height:1.65pt;mso-position-horizontal-relative:page;mso-position-vertical-relative:paragraph;z-index:15731712" id="docshape12" coordorigin="1675,688" coordsize="33,33" path="m1696,720l1687,720,1683,719,1676,712,1675,708,1675,699,1676,696,1683,689,1687,688,1696,688,1699,689,1706,696,1707,699,1707,704,1707,708,1706,712,1699,719,1696,7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</w:t>
      </w:r>
      <w:r>
        <w:rPr>
          <w:color w:val="6E6158"/>
          <w:position w:val="7"/>
          <w:sz w:val="16"/>
        </w:rPr>
        <w:t>® </w:t>
      </w:r>
      <w:r>
        <w:rPr>
          <w:color w:val="6E6158"/>
        </w:rPr>
        <w:t>Ones to Watch: Real Estate Law, 2023 – </w:t>
      </w:r>
      <w:r>
        <w:rPr>
          <w:color w:val="6E6158"/>
        </w:rPr>
        <w:t>2025 Colorado Super Lawyers Rising Star: Real Estate, 2023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Getting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Coloradoans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Back</w:t>
        </w:r>
        <w:r>
          <w:rPr>
            <w:color w:val="F5821F"/>
            <w:spacing w:val="7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Work</w:t>
        </w:r>
      </w:hyperlink>
      <w:r>
        <w:rPr>
          <w:color w:val="6E6158"/>
        </w:rPr>
        <w:t>,”</w:t>
      </w:r>
      <w:r>
        <w:rPr>
          <w:color w:val="6E6158"/>
          <w:spacing w:val="7"/>
        </w:rPr>
        <w:t> </w:t>
      </w:r>
      <w:r>
        <w:rPr>
          <w:color w:val="6E6158"/>
        </w:rPr>
        <w:t>Firm</w:t>
      </w:r>
      <w:r>
        <w:rPr>
          <w:color w:val="6E6158"/>
          <w:spacing w:val="8"/>
        </w:rPr>
        <w:t> </w:t>
      </w:r>
      <w:r>
        <w:rPr>
          <w:color w:val="6E6158"/>
        </w:rPr>
        <w:t>Webinar,</w:t>
      </w:r>
      <w:r>
        <w:rPr>
          <w:color w:val="6E6158"/>
          <w:spacing w:val="7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/>
        <w:ind w:left="356" w:right="58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72pt;width:1.65pt;height:1.65pt;mso-position-horizontal-relative:page;mso-position-vertical-relative:paragraph;z-index:15733248" id="docshape1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674706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6518pt;width:1.65pt;height:1.65pt;mso-position-horizontal-relative:page;mso-position-vertical-relative:paragraph;z-index:15733760" id="docshape16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</w:t>
      </w:r>
      <w:r>
        <w:rPr>
          <w:color w:val="6E6158"/>
          <w:spacing w:val="40"/>
        </w:rPr>
        <w:t> </w:t>
      </w:r>
      <w:r>
        <w:rPr>
          <w:color w:val="6E6158"/>
        </w:rPr>
        <w:t>Cottonwood Institute, Board </w:t>
      </w:r>
      <w:r>
        <w:rPr>
          <w:color w:val="6E6158"/>
        </w:rPr>
        <w:t>Member Denver Bar Association</w:t>
      </w:r>
    </w:p>
    <w:p>
      <w:pPr>
        <w:pStyle w:val="Heading1"/>
        <w:spacing w:before="160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152606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244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tiernan@fennemorelaw.com" TargetMode="External"/><Relationship Id="rId11" Type="http://schemas.openxmlformats.org/officeDocument/2006/relationships/hyperlink" Target="https://vimeo.com/42295415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2025-01-06T16:32:54Z</dcterms:created>
  <dcterms:modified xsi:type="dcterms:W3CDTF">2025-01-06T16:32:54Z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