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57353" y="763308"/>
                            <a:ext cx="119824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JEFFREY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P. ZUCKER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702.791.8231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702.791.8232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36325" y="2763906"/>
                            <a:ext cx="1440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jzucker@fennemorelaw.com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08496" y="4019563"/>
                            <a:ext cx="146558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Justice,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justice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shall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pursue!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-Deuteronomy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16:20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36461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JEFFREY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P.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ZUCKER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73;top:1762;width:1887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JEFFREY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P. ZUCKER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702.791.8231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702.791.8232</w:t>
                        </w:r>
                      </w:p>
                    </w:txbxContent>
                  </v:textbox>
                  <w10:wrap type="none"/>
                </v:shape>
                <v:shape style="position:absolute;left:7382;top:4912;width:2268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jzucker@fennemorelaw.com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976;top:6890;width:2308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Justice,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justice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shall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pursue!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-Deuteronomy</w:t>
                        </w:r>
                        <w:r>
                          <w:rPr>
                            <w:color w:val="FFFFFF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16:20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149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JEFFREY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P.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ZUCKER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spacing w:line="297" w:lineRule="auto"/>
        <w:ind w:left="104" w:right="304"/>
      </w:pPr>
      <w:r>
        <w:rPr>
          <w:color w:val="6E6158"/>
        </w:rPr>
        <w:t>Jeff’s practice focuses primarily on real estate and corporate transactions. He counsels and</w:t>
      </w:r>
      <w:r>
        <w:rPr>
          <w:color w:val="6E6158"/>
          <w:spacing w:val="40"/>
        </w:rPr>
        <w:t> </w:t>
      </w:r>
      <w:r>
        <w:rPr>
          <w:color w:val="6E6158"/>
        </w:rPr>
        <w:t>represents privately and publicly held companies and their owners in a wide variety of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matters. He has represented both lenders and developers in large and complex workouts and</w:t>
      </w:r>
      <w:r>
        <w:rPr>
          <w:color w:val="6E6158"/>
          <w:spacing w:val="40"/>
        </w:rPr>
        <w:t> </w:t>
      </w:r>
      <w:r>
        <w:rPr>
          <w:color w:val="6E6158"/>
        </w:rPr>
        <w:t>foreclosures. He also regularly plans, structures, negotiates and implements all types of business</w:t>
      </w:r>
      <w:r>
        <w:rPr>
          <w:color w:val="6E6158"/>
          <w:spacing w:val="40"/>
        </w:rPr>
        <w:t> </w:t>
      </w:r>
      <w:r>
        <w:rPr>
          <w:color w:val="6E6158"/>
        </w:rPr>
        <w:t>initiatives and transactions including very large, multi-million dollar transactions, as well as</w:t>
      </w:r>
      <w:r>
        <w:rPr>
          <w:color w:val="6E6158"/>
          <w:spacing w:val="40"/>
        </w:rPr>
        <w:t> </w:t>
      </w:r>
      <w:r>
        <w:rPr>
          <w:color w:val="6E6158"/>
        </w:rPr>
        <w:t>mergers and acquisitions, financial transactions, and various real estate projects.</w:t>
      </w:r>
    </w:p>
    <w:p>
      <w:pPr>
        <w:pStyle w:val="BodyText"/>
        <w:spacing w:line="292" w:lineRule="auto" w:before="187"/>
        <w:ind w:left="104" w:right="326"/>
      </w:pPr>
      <w:r>
        <w:rPr>
          <w:color w:val="6E6158"/>
        </w:rPr>
        <w:t>Jeff sought a career in law because he enjoys applying analytical thinking to real-world</w:t>
      </w:r>
      <w:r>
        <w:rPr>
          <w:color w:val="6E6158"/>
          <w:spacing w:val="40"/>
        </w:rPr>
        <w:t> </w:t>
      </w:r>
      <w:r>
        <w:rPr>
          <w:color w:val="6E6158"/>
        </w:rPr>
        <w:t>scenarios. He likes seeing what his clients envision and build.</w:t>
      </w:r>
    </w:p>
    <w:p>
      <w:pPr>
        <w:pStyle w:val="BodyText"/>
        <w:spacing w:line="302" w:lineRule="auto" w:before="197"/>
        <w:ind w:left="104" w:right="326"/>
      </w:pPr>
      <w:r>
        <w:rPr>
          <w:color w:val="6E6158"/>
        </w:rPr>
        <w:t>Away from work, Jeff is active in the Las Vegas Jewish community and is a stamp collector. He is also an avid traveler, and participated in a Game of Thrones tour of Croatia.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63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152513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941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410879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2688pt;width:1.65pt;height:1.65pt;mso-position-horizontal-relative:page;mso-position-vertical-relative:paragraph;z-index:15729664" id="docshape15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Harvard Law </w:t>
      </w:r>
      <w:r>
        <w:rPr>
          <w:color w:val="6E6158"/>
        </w:rPr>
        <w:t>School</w:t>
      </w:r>
      <w:r>
        <w:rPr>
          <w:color w:val="6E6158"/>
        </w:rPr>
        <w:t> B.A., Yale 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before="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59973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2301pt;width:1.65pt;height:1.65pt;mso-position-horizontal-relative:page;mso-position-vertical-relative:paragraph;z-index:15730176" id="docshape16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Finance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Lending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7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1200" id="docshape18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</w:t>
      </w:r>
      <w:r>
        <w:rPr>
          <w:color w:val="6E6158"/>
          <w:spacing w:val="40"/>
        </w:rPr>
        <w:t> </w:t>
      </w:r>
      <w:r>
        <w:rPr>
          <w:color w:val="6E6158"/>
        </w:rPr>
        <w:t>Business &amp; </w:t>
      </w:r>
      <w:r>
        <w:rPr>
          <w:color w:val="6E6158"/>
        </w:rPr>
        <w:t>Finance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pt;width:1.65pt;height:1.65pt;mso-position-horizontal-relative:page;mso-position-vertical-relative:paragraph;z-index:15731712" id="docshape19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Gaming</w:t>
      </w:r>
      <w:r>
        <w:rPr>
          <w:color w:val="6E6158"/>
          <w:spacing w:val="10"/>
        </w:rPr>
        <w:t> </w:t>
      </w:r>
      <w:r>
        <w:rPr>
          <w:color w:val="6E6158"/>
        </w:rPr>
        <w:t>&amp;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Hospitality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152521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552pt;width:1.65pt;height:1.65pt;mso-position-horizontal-relative:page;mso-position-vertical-relative:paragraph;z-index:15732224" id="docshape2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2023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168815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2559pt;width:1.65pt;height:1.65pt;mso-position-horizontal-relative:page;mso-position-vertical-relative:paragraph;z-index:15732736" id="docshape21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46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1983-</w:t>
      </w:r>
      <w:r>
        <w:rPr>
          <w:color w:val="6E6158"/>
          <w:spacing w:val="-4"/>
          <w:sz w:val="19"/>
        </w:rPr>
        <w:t>2025</w:t>
      </w:r>
    </w:p>
    <w:p>
      <w:pPr>
        <w:spacing w:line="405" w:lineRule="auto" w:before="164"/>
        <w:ind w:left="356" w:right="119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168462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4785pt;width:1.65pt;height:1.65pt;mso-position-horizontal-relative:page;mso-position-vertical-relative:paragraph;z-index:15733248" id="docshape22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452664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4291pt;width:1.65pt;height:1.65pt;mso-position-horizontal-relative:page;mso-position-vertical-relative:paragraph;z-index:15733760" id="docshape23" coordorigin="1675,713" coordsize="33,33" path="m1696,745l1687,745,1683,744,1676,737,1675,734,1675,725,1676,721,1683,714,1687,713,1696,713,1699,714,1706,721,1707,725,1707,729,1707,734,1706,737,1699,744,1696,7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731699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7.614159pt;width:1.65pt;height:1.65pt;mso-position-horizontal-relative:page;mso-position-vertical-relative:paragraph;z-index:15734272" id="docshape24" coordorigin="1675,1152" coordsize="33,33" path="m1696,1185l1687,1185,1683,1183,1676,1177,1675,1173,1675,1164,1676,1160,1683,1154,1687,1152,1696,1152,1699,1154,1706,1160,1707,1164,1707,1169,1707,1173,1706,1177,1699,1183,1696,11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Corporate Governance Law, Corporate Law,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2015-</w:t>
      </w:r>
      <w:r>
        <w:rPr>
          <w:color w:val="6E6158"/>
          <w:sz w:val="19"/>
        </w:rPr>
        <w:t>2025 </w: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Lawyer of the Year, Real Estate Law, 2008, 2014</w:t>
      </w:r>
      <w:r>
        <w:rPr>
          <w:color w:val="6E6158"/>
          <w:spacing w:val="40"/>
          <w:sz w:val="19"/>
        </w:rPr>
        <w:t> </w:t>
      </w:r>
      <w:r>
        <w:rPr>
          <w:i/>
          <w:color w:val="6E6158"/>
          <w:sz w:val="20"/>
        </w:rPr>
        <w:t>Mountain States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2016-2022</w:t>
      </w:r>
    </w:p>
    <w:p>
      <w:pPr>
        <w:pStyle w:val="BodyText"/>
        <w:spacing w:before="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60434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58600pt;width:1.65pt;height:1.65pt;mso-position-horizontal-relative:page;mso-position-vertical-relative:paragraph;z-index:15734784" id="docshape25" coordorigin="1675,95" coordsize="33,33" path="m1696,128l1687,128,1683,126,1676,120,1675,116,1675,107,1676,103,1683,97,1687,95,1696,95,1699,97,1706,103,1707,107,1707,111,1707,116,1706,120,1699,126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Highly</w:t>
      </w:r>
      <w:r>
        <w:rPr>
          <w:color w:val="6E6158"/>
          <w:spacing w:val="12"/>
        </w:rPr>
        <w:t> </w:t>
      </w:r>
      <w:r>
        <w:rPr>
          <w:color w:val="6E6158"/>
        </w:rPr>
        <w:t>Regarded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</w:rPr>
        <w:t>M&amp;A;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Acquisitions;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Finance,</w:t>
      </w:r>
      <w:r>
        <w:rPr>
          <w:color w:val="6E6158"/>
          <w:spacing w:val="12"/>
        </w:rPr>
        <w:t> </w:t>
      </w:r>
      <w:r>
        <w:rPr>
          <w:color w:val="6E6158"/>
        </w:rPr>
        <w:t>IFLR</w:t>
      </w:r>
      <w:r>
        <w:rPr>
          <w:color w:val="6E6158"/>
          <w:spacing w:val="13"/>
        </w:rPr>
        <w:t> </w:t>
      </w:r>
      <w:r>
        <w:rPr>
          <w:color w:val="6E6158"/>
        </w:rPr>
        <w:t>1000,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2019</w:t>
      </w:r>
    </w:p>
    <w:p>
      <w:pPr>
        <w:spacing w:line="403" w:lineRule="auto" w:before="167"/>
        <w:ind w:left="356" w:right="344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170238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644pt;width:1.65pt;height:1.65pt;mso-position-horizontal-relative:page;mso-position-vertical-relative:paragraph;z-index:15735296" id="docshape2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454441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782768pt;width:1.65pt;height:1.65pt;mso-position-horizontal-relative:page;mso-position-vertical-relative:paragraph;z-index:15735808" id="docshape27" coordorigin="1675,716" coordsize="33,33" path="m1696,748l1687,748,1683,747,1676,740,1675,736,1675,727,1676,724,1683,717,1687,716,1696,716,1699,717,1706,724,1707,727,1707,732,1707,736,1706,740,1699,747,1696,7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712806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6.126518pt;width:1.65pt;height:1.65pt;mso-position-horizontal-relative:page;mso-position-vertical-relative:paragraph;z-index:15736320" id="docshape28" coordorigin="1675,1123" coordsize="33,33" path="m1696,1155l1687,1155,1683,1153,1676,1147,1675,1143,1675,1134,1676,1130,1683,1124,1687,1123,1696,1123,1699,1124,1706,1130,1707,1134,1707,1139,1707,1143,1706,1147,1699,1153,1696,11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 States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Top 100, 2018 Recommended in </w:t>
      </w:r>
      <w:r>
        <w:rPr>
          <w:i/>
          <w:color w:val="6E6158"/>
          <w:sz w:val="20"/>
        </w:rPr>
        <w:t>The Legal 500 US, </w:t>
      </w:r>
      <w:r>
        <w:rPr>
          <w:color w:val="6E6158"/>
          <w:sz w:val="19"/>
        </w:rPr>
        <w:t>Real Estate, </w:t>
      </w:r>
      <w:r>
        <w:rPr>
          <w:color w:val="6E6158"/>
          <w:sz w:val="19"/>
        </w:rPr>
        <w:t>2015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2011-2015</w:t>
      </w:r>
    </w:p>
    <w:p>
      <w:pPr>
        <w:pStyle w:val="BodyText"/>
        <w:spacing w:line="268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61440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37845pt;width:1.65pt;height:1.65pt;mso-position-horizontal-relative:page;mso-position-vertical-relative:paragraph;z-index:15736832" id="docshape29" coordorigin="1675,97" coordsize="33,33" path="m1696,129l1687,129,1683,128,1676,121,1675,118,1675,109,1676,105,1683,98,1687,97,1696,97,1699,98,1706,105,1707,109,1707,113,1707,118,1706,121,1699,128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152740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799pt;width:1.65pt;height:1.65pt;mso-position-horizontal-relative:page;mso-position-vertical-relative:paragraph;z-index:15737344" id="docshape30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Co-Author, Fennemore Notice To Clients – Corporate Transparency Act, Fennemore Client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Alert, December 29, 2023</w:t>
        </w:r>
      </w:hyperlink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137677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0773pt;width:1.65pt;height:1.65pt;mso-position-horizontal-relative:page;mso-position-vertical-relative:paragraph;z-index:15737856" id="docshape31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“Night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Day: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Differences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in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Corporate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Law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Between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Nevada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2"/>
          </w:rPr>
          <w:t>Delaware,”</w:t>
        </w:r>
      </w:hyperlink>
    </w:p>
    <w:p>
      <w:pPr>
        <w:spacing w:before="42"/>
        <w:ind w:left="356" w:right="0" w:firstLine="0"/>
        <w:jc w:val="left"/>
        <w:rPr>
          <w:sz w:val="19"/>
        </w:rPr>
      </w:pPr>
      <w:hyperlink r:id="rId12">
        <w:r>
          <w:rPr>
            <w:i/>
            <w:color w:val="FF8100"/>
            <w:sz w:val="20"/>
          </w:rPr>
          <w:t>Las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Vegas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Business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Press</w:t>
        </w:r>
      </w:hyperlink>
      <w:hyperlink r:id="rId12">
        <w:r>
          <w:rPr>
            <w:color w:val="FF8100"/>
            <w:sz w:val="19"/>
          </w:rPr>
          <w:t>,</w:t>
        </w:r>
        <w:r>
          <w:rPr>
            <w:color w:val="FF8100"/>
            <w:spacing w:val="-12"/>
            <w:sz w:val="19"/>
          </w:rPr>
          <w:t> </w:t>
        </w:r>
        <w:r>
          <w:rPr>
            <w:color w:val="FF8100"/>
            <w:sz w:val="19"/>
          </w:rPr>
          <w:t>May</w:t>
        </w:r>
        <w:r>
          <w:rPr>
            <w:color w:val="FF8100"/>
            <w:spacing w:val="-11"/>
            <w:sz w:val="19"/>
          </w:rPr>
          <w:t> </w:t>
        </w:r>
        <w:r>
          <w:rPr>
            <w:color w:val="FF8100"/>
            <w:sz w:val="19"/>
          </w:rPr>
          <w:t>7,</w:t>
        </w:r>
        <w:r>
          <w:rPr>
            <w:color w:val="FF8100"/>
            <w:spacing w:val="-12"/>
            <w:sz w:val="19"/>
          </w:rPr>
          <w:t> </w:t>
        </w:r>
        <w:r>
          <w:rPr>
            <w:color w:val="FF8100"/>
            <w:spacing w:val="-4"/>
            <w:sz w:val="19"/>
          </w:rPr>
          <w:t>2018</w:t>
        </w:r>
      </w:hyperlink>
    </w:p>
    <w:p>
      <w:pPr>
        <w:pStyle w:val="BodyText"/>
        <w:spacing w:line="420" w:lineRule="auto" w:before="180"/>
        <w:ind w:left="356" w:right="5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173654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3574pt;width:1.65pt;height:1.65pt;mso-position-horizontal-relative:page;mso-position-vertical-relative:paragraph;z-index:15738368" id="docshape32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432019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17323pt;width:1.65pt;height:1.65pt;mso-position-horizontal-relative:page;mso-position-vertical-relative:paragraph;z-index:15738880" id="docshape33" coordorigin="1675,680" coordsize="33,33" path="m1696,713l1687,713,1683,711,1676,705,1675,701,1675,692,1676,688,1683,682,1687,680,1696,680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“Bishop and Zucker on Nevada Corporations and Limited Liability </w:t>
      </w:r>
      <w:r>
        <w:rPr>
          <w:color w:val="6E6158"/>
        </w:rPr>
        <w:t>Companies” Co-Author, “Doing Business in Nevada: A Practical Guide”</w:t>
      </w:r>
    </w:p>
    <w:p>
      <w:pPr>
        <w:pStyle w:val="Heading1"/>
        <w:spacing w:before="15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left="356" w:right="15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152907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963pt;width:1.65pt;height:1.65pt;mso-position-horizontal-relative:page;mso-position-vertical-relative:paragraph;z-index:15739392" id="docshape3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416440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588pt;width:1.65pt;height:1.65pt;mso-position-horizontal-relative:page;mso-position-vertical-relative:paragraph;z-index:15739904" id="docshape35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Founder and First Chair of the Business Law Section, State Bar of </w:t>
      </w:r>
      <w:r>
        <w:rPr>
          <w:color w:val="6E6158"/>
        </w:rPr>
        <w:t>Nevada Member, American College of Real Estate Lawyers</w:t>
      </w:r>
    </w:p>
    <w:p>
      <w:pPr>
        <w:pStyle w:val="BodyText"/>
        <w:spacing w:line="420" w:lineRule="auto"/>
        <w:ind w:left="356" w:right="15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54845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8506pt;width:1.65pt;height:1.65pt;mso-position-horizontal-relative:page;mso-position-vertical-relative:paragraph;z-index:15740416" id="docshape36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313210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62256pt;width:1.65pt;height:1.65pt;mso-position-horizontal-relative:page;mso-position-vertical-relative:paragraph;z-index:15740928" id="docshape37" coordorigin="1675,493" coordsize="33,33" path="m1696,526l1687,526,1683,524,1676,518,1675,514,1675,505,1676,501,1683,495,1687,493,1696,493,1699,495,1706,501,1707,505,1707,510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College of Real Estate Lawyers, Opinion </w:t>
      </w:r>
      <w:r>
        <w:rPr>
          <w:color w:val="6E6158"/>
        </w:rPr>
        <w:t>Committee Member, American College of Mortgage Attorneys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53835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39037pt;width:1.65pt;height:1.65pt;mso-position-horizontal-relative:page;mso-position-vertical-relative:paragraph;z-index:15741440" id="docshape38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Nevada,</w:t>
      </w:r>
      <w:r>
        <w:rPr>
          <w:color w:val="6E6158"/>
          <w:spacing w:val="9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</w:rPr>
        <w:t>Section,</w:t>
      </w:r>
      <w:r>
        <w:rPr>
          <w:color w:val="6E6158"/>
          <w:spacing w:val="10"/>
        </w:rPr>
        <w:t> </w:t>
      </w:r>
      <w:r>
        <w:rPr>
          <w:color w:val="6E6158"/>
        </w:rPr>
        <w:t>Opinion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152455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392pt;width:1.65pt;height:1.65pt;mso-position-horizontal-relative:page;mso-position-vertical-relative:paragraph;z-index:15741952" id="docshape3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jzucker@fennemorelaw.com" TargetMode="External"/><Relationship Id="rId11" Type="http://schemas.openxmlformats.org/officeDocument/2006/relationships/hyperlink" Target="https://www.fennemorelaw.com/wp-content/uploads/2023/12/Corporate-Formation-Filings-and-Deadlines-Fennemore-Notice-to-Clients-re-CTA.pdf" TargetMode="External"/><Relationship Id="rId12" Type="http://schemas.openxmlformats.org/officeDocument/2006/relationships/hyperlink" Target="https://businesspress.vegas/columns/experts-corner/night-and-day-the-differences-in-corporate-law-between-nevada-and-delawar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2025-01-02T06:57:23Z</dcterms:created>
  <dcterms:modified xsi:type="dcterms:W3CDTF">2025-01-02T06:57:23Z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