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75773" y="1369338"/>
                            <a:ext cx="194818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8180" h="320675">
                                <a:moveTo>
                                  <a:pt x="194807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948078" y="320382"/>
                                </a:lnTo>
                                <a:lnTo>
                                  <a:pt x="1948078" y="315214"/>
                                </a:lnTo>
                                <a:close/>
                              </a:path>
                              <a:path w="1948180" h="320675">
                                <a:moveTo>
                                  <a:pt x="19480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948078" y="5168"/>
                                </a:lnTo>
                                <a:lnTo>
                                  <a:pt x="19480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JOHN D.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BETHEA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602.916.5344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602.916.5544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jbethea@fennemorelaw.com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type="solid"/>
                </v:rect>
                <v:shape style="position:absolute;left:5631;top:2156;width:3068;height:505" id="docshape5" coordorigin="5631,2156" coordsize="3068,505" path="m8699,2653l5631,2653,5631,2661,8699,2661,8699,2653xm8699,2156l5631,2156,5631,2165,8699,2165,8699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JOHN D.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BETHEA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602.916.5344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602.916.5544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jbethea@fennemorelaw.com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82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JOHN</w:t>
      </w:r>
      <w:r>
        <w:rPr>
          <w:b/>
          <w:color w:val="002E6B"/>
          <w:spacing w:val="5"/>
          <w:sz w:val="24"/>
        </w:rPr>
        <w:t> </w:t>
      </w:r>
      <w:r>
        <w:rPr>
          <w:b/>
          <w:color w:val="002E6B"/>
          <w:sz w:val="24"/>
        </w:rPr>
        <w:t>D.</w:t>
      </w:r>
      <w:r>
        <w:rPr>
          <w:b/>
          <w:color w:val="002E6B"/>
          <w:spacing w:val="5"/>
          <w:sz w:val="24"/>
        </w:rPr>
        <w:t> </w:t>
      </w:r>
      <w:r>
        <w:rPr>
          <w:b/>
          <w:color w:val="002E6B"/>
          <w:spacing w:val="-2"/>
          <w:sz w:val="24"/>
        </w:rPr>
        <w:t>BETHEA</w:t>
      </w:r>
    </w:p>
    <w:p>
      <w:pPr>
        <w:pStyle w:val="BodyText"/>
        <w:spacing w:line="295" w:lineRule="auto" w:before="147"/>
        <w:ind w:left="104" w:right="721"/>
      </w:pPr>
      <w:r>
        <w:rPr>
          <w:color w:val="6E6158"/>
        </w:rPr>
        <w:t>John maintains a diversified practice in commercial real estate law. His casework includes</w:t>
      </w:r>
      <w:r>
        <w:rPr>
          <w:color w:val="6E6158"/>
          <w:spacing w:val="40"/>
        </w:rPr>
        <w:t> </w:t>
      </w:r>
      <w:r>
        <w:rPr>
          <w:color w:val="6E6158"/>
        </w:rPr>
        <w:t>acquisition and sale of improved and unimproved properties; commercial development; </w:t>
      </w:r>
      <w:r>
        <w:rPr>
          <w:color w:val="6E6158"/>
        </w:rPr>
        <w:t>retail,</w:t>
      </w:r>
      <w:r>
        <w:rPr>
          <w:color w:val="6E6158"/>
          <w:spacing w:val="40"/>
        </w:rPr>
        <w:t> </w:t>
      </w:r>
      <w:r>
        <w:rPr>
          <w:color w:val="6E6158"/>
        </w:rPr>
        <w:t>agricultural, industrial and office leasing; ground leases (with an emphasis on retail pad sites);</w:t>
      </w:r>
      <w:r>
        <w:rPr>
          <w:color w:val="6E6158"/>
          <w:spacing w:val="40"/>
        </w:rPr>
        <w:t> </w:t>
      </w:r>
      <w:r>
        <w:rPr>
          <w:color w:val="6E6158"/>
        </w:rPr>
        <w:t>and real estate finance.</w:t>
      </w:r>
    </w:p>
    <w:p>
      <w:pPr>
        <w:pStyle w:val="BodyText"/>
        <w:spacing w:line="292" w:lineRule="auto" w:before="204"/>
        <w:ind w:left="104" w:right="721"/>
      </w:pPr>
      <w:r>
        <w:rPr>
          <w:color w:val="6E6158"/>
        </w:rPr>
        <w:t>A majority of John’s practice focuses on representing national convenience grocery store/automotive refueling facility operators and retail banks in connection with their </w:t>
      </w:r>
      <w:r>
        <w:rPr>
          <w:color w:val="6E6158"/>
        </w:rPr>
        <w:t>acquisition</w:t>
      </w:r>
      <w:r>
        <w:rPr>
          <w:color w:val="6E6158"/>
          <w:spacing w:val="40"/>
        </w:rPr>
        <w:t> </w:t>
      </w:r>
      <w:r>
        <w:rPr>
          <w:color w:val="6E6158"/>
        </w:rPr>
        <w:t>and development of commercial pad sites.</w:t>
      </w:r>
    </w:p>
    <w:p>
      <w:pPr>
        <w:pStyle w:val="BodyText"/>
        <w:spacing w:line="295" w:lineRule="auto" w:before="198"/>
        <w:ind w:left="104" w:right="665"/>
      </w:pPr>
      <w:r>
        <w:rPr>
          <w:color w:val="6E6158"/>
        </w:rPr>
        <w:t>Outside of work, John spends time with his wife and children as well as his father and siblings. He</w:t>
      </w:r>
      <w:r>
        <w:rPr>
          <w:color w:val="6E6158"/>
          <w:spacing w:val="40"/>
        </w:rPr>
        <w:t> </w:t>
      </w:r>
      <w:r>
        <w:rPr>
          <w:color w:val="6E6158"/>
        </w:rPr>
        <w:t>enjoys</w:t>
      </w:r>
      <w:r>
        <w:rPr>
          <w:color w:val="6E6158"/>
          <w:spacing w:val="38"/>
        </w:rPr>
        <w:t> </w:t>
      </w:r>
      <w:r>
        <w:rPr>
          <w:color w:val="6E6158"/>
        </w:rPr>
        <w:t>being</w:t>
      </w:r>
      <w:r>
        <w:rPr>
          <w:color w:val="6E6158"/>
          <w:spacing w:val="38"/>
        </w:rPr>
        <w:t> </w:t>
      </w:r>
      <w:r>
        <w:rPr>
          <w:color w:val="6E6158"/>
        </w:rPr>
        <w:t>active</w:t>
      </w:r>
      <w:r>
        <w:rPr>
          <w:color w:val="6E6158"/>
          <w:spacing w:val="38"/>
        </w:rPr>
        <w:t> </w:t>
      </w:r>
      <w:r>
        <w:rPr>
          <w:color w:val="6E6158"/>
        </w:rPr>
        <w:t>outdoors,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participates</w:t>
      </w:r>
      <w:r>
        <w:rPr>
          <w:color w:val="6E6158"/>
          <w:spacing w:val="38"/>
        </w:rPr>
        <w:t> </w:t>
      </w:r>
      <w:r>
        <w:rPr>
          <w:color w:val="6E6158"/>
        </w:rPr>
        <w:t>in</w:t>
      </w:r>
      <w:r>
        <w:rPr>
          <w:color w:val="6E6158"/>
          <w:spacing w:val="38"/>
        </w:rPr>
        <w:t> </w:t>
      </w:r>
      <w:r>
        <w:rPr>
          <w:color w:val="6E6158"/>
        </w:rPr>
        <w:t>snowboarding,</w:t>
      </w:r>
      <w:r>
        <w:rPr>
          <w:color w:val="6E6158"/>
          <w:spacing w:val="38"/>
        </w:rPr>
        <w:t> </w:t>
      </w:r>
      <w:r>
        <w:rPr>
          <w:color w:val="6E6158"/>
        </w:rPr>
        <w:t>mountain</w:t>
      </w:r>
      <w:r>
        <w:rPr>
          <w:color w:val="6E6158"/>
          <w:spacing w:val="38"/>
        </w:rPr>
        <w:t> </w:t>
      </w:r>
      <w:r>
        <w:rPr>
          <w:color w:val="6E6158"/>
        </w:rPr>
        <w:t>biking,</w:t>
      </w:r>
      <w:r>
        <w:rPr>
          <w:color w:val="6E6158"/>
          <w:spacing w:val="38"/>
        </w:rPr>
        <w:t> </w:t>
      </w:r>
      <w:r>
        <w:rPr>
          <w:color w:val="6E6158"/>
        </w:rPr>
        <w:t>motocross and other recreational activities. John’s new hobby is travel, he and his wife have begun</w:t>
      </w:r>
      <w:r>
        <w:rPr>
          <w:color w:val="6E6158"/>
          <w:spacing w:val="80"/>
        </w:rPr>
        <w:t> </w:t>
      </w:r>
      <w:r>
        <w:rPr>
          <w:color w:val="6E6158"/>
        </w:rPr>
        <w:t>traveling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New</w:t>
      </w:r>
      <w:r>
        <w:rPr>
          <w:color w:val="6E6158"/>
          <w:spacing w:val="27"/>
        </w:rPr>
        <w:t> </w:t>
      </w:r>
      <w:r>
        <w:rPr>
          <w:color w:val="6E6158"/>
        </w:rPr>
        <w:t>York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see</w:t>
      </w:r>
      <w:r>
        <w:rPr>
          <w:color w:val="6E6158"/>
          <w:spacing w:val="27"/>
        </w:rPr>
        <w:t> </w:t>
      </w:r>
      <w:r>
        <w:rPr>
          <w:color w:val="6E6158"/>
        </w:rPr>
        <w:t>their</w:t>
      </w:r>
      <w:r>
        <w:rPr>
          <w:color w:val="6E6158"/>
          <w:spacing w:val="27"/>
        </w:rPr>
        <w:t> </w:t>
      </w:r>
      <w:r>
        <w:rPr>
          <w:color w:val="6E6158"/>
        </w:rPr>
        <w:t>daughter</w:t>
      </w:r>
      <w:r>
        <w:rPr>
          <w:color w:val="6E6158"/>
          <w:spacing w:val="27"/>
        </w:rPr>
        <w:t> </w:t>
      </w:r>
      <w:r>
        <w:rPr>
          <w:color w:val="6E6158"/>
        </w:rPr>
        <w:t>perform</w:t>
      </w:r>
      <w:r>
        <w:rPr>
          <w:color w:val="6E6158"/>
          <w:spacing w:val="27"/>
        </w:rPr>
        <w:t> </w:t>
      </w:r>
      <w:r>
        <w:rPr>
          <w:color w:val="6E6158"/>
        </w:rPr>
        <w:t>for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American</w:t>
      </w:r>
      <w:r>
        <w:rPr>
          <w:color w:val="6E6158"/>
          <w:spacing w:val="27"/>
        </w:rPr>
        <w:t> </w:t>
      </w:r>
      <w:r>
        <w:rPr>
          <w:color w:val="6E6158"/>
        </w:rPr>
        <w:t>Ballet</w:t>
      </w:r>
      <w:r>
        <w:rPr>
          <w:color w:val="6E6158"/>
          <w:spacing w:val="27"/>
        </w:rPr>
        <w:t> </w:t>
      </w:r>
      <w:r>
        <w:rPr>
          <w:color w:val="6E6158"/>
        </w:rPr>
        <w:t>Theatre.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before="145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157863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018pt;width:1.65pt;height:1.65pt;mso-position-horizontal-relative:page;mso-position-vertical-relative:paragraph;z-index:15729152" id="docshape7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7"/>
        </w:rPr>
        <w:t> </w:t>
      </w:r>
      <w:r>
        <w:rPr>
          <w:color w:val="6E6158"/>
        </w:rPr>
        <w:t>Brigham</w:t>
      </w:r>
      <w:r>
        <w:rPr>
          <w:color w:val="6E6158"/>
          <w:spacing w:val="8"/>
        </w:rPr>
        <w:t> </w:t>
      </w:r>
      <w:r>
        <w:rPr>
          <w:color w:val="6E6158"/>
        </w:rPr>
        <w:t>Young</w:t>
      </w:r>
      <w:r>
        <w:rPr>
          <w:color w:val="6E6158"/>
          <w:spacing w:val="8"/>
        </w:rPr>
        <w:t> </w:t>
      </w:r>
      <w:r>
        <w:rPr>
          <w:color w:val="6E6158"/>
        </w:rPr>
        <w:t>University,</w:t>
      </w:r>
      <w:r>
        <w:rPr>
          <w:color w:val="6E6158"/>
          <w:spacing w:val="8"/>
        </w:rPr>
        <w:t> </w:t>
      </w:r>
      <w:r>
        <w:rPr>
          <w:color w:val="6E6158"/>
        </w:rPr>
        <w:t>J.</w:t>
      </w:r>
      <w:r>
        <w:rPr>
          <w:color w:val="6E6158"/>
          <w:spacing w:val="8"/>
        </w:rPr>
        <w:t> </w:t>
      </w:r>
      <w:r>
        <w:rPr>
          <w:color w:val="6E6158"/>
        </w:rPr>
        <w:t>Reuben</w:t>
      </w:r>
      <w:r>
        <w:rPr>
          <w:color w:val="6E6158"/>
          <w:spacing w:val="8"/>
        </w:rPr>
        <w:t> </w:t>
      </w:r>
      <w:r>
        <w:rPr>
          <w:color w:val="6E6158"/>
        </w:rPr>
        <w:t>Clark</w:t>
      </w:r>
      <w:r>
        <w:rPr>
          <w:color w:val="6E6158"/>
          <w:spacing w:val="8"/>
        </w:rPr>
        <w:t> </w:t>
      </w:r>
      <w:r>
        <w:rPr>
          <w:color w:val="6E6158"/>
        </w:rPr>
        <w:t>Law</w:t>
      </w:r>
      <w:r>
        <w:rPr>
          <w:color w:val="6E6158"/>
          <w:spacing w:val="8"/>
        </w:rPr>
        <w:t> </w:t>
      </w:r>
      <w:r>
        <w:rPr>
          <w:color w:val="6E6158"/>
        </w:rPr>
        <w:t>School,</w:t>
      </w:r>
      <w:r>
        <w:rPr>
          <w:color w:val="6E6158"/>
          <w:spacing w:val="9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5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168442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3186pt;width:1.65pt;height:1.65pt;mso-position-horizontal-relative:page;mso-position-vertical-relative:paragraph;z-index:15729664" id="docshape8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6"/>
        </w:rPr>
        <w:t> </w:t>
      </w:r>
      <w:r>
        <w:rPr>
          <w:color w:val="6E6158"/>
        </w:rPr>
        <w:t>Brigham</w:t>
      </w:r>
      <w:r>
        <w:rPr>
          <w:color w:val="6E6158"/>
          <w:spacing w:val="6"/>
        </w:rPr>
        <w:t> </w:t>
      </w:r>
      <w:r>
        <w:rPr>
          <w:color w:val="6E6158"/>
        </w:rPr>
        <w:t>Young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2"/>
        <w:ind w:left="0"/>
        <w:rPr>
          <w:b/>
        </w:rPr>
      </w:pPr>
    </w:p>
    <w:p>
      <w:pPr>
        <w:pStyle w:val="BodyText"/>
        <w:spacing w:line="420" w:lineRule="auto"/>
        <w:ind w:right="59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59552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8917pt;width:1.65pt;height:1.65pt;mso-position-horizontal-relative:page;mso-position-vertical-relative:paragraph;z-index:15730176" id="docshape9" coordorigin="1675,94" coordsize="33,33" path="m1696,126l1687,126,1683,125,1676,118,1675,115,1675,106,1676,102,1683,95,1687,94,1696,94,1699,95,1706,102,1707,106,1707,110,1707,115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317918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32919pt;width:1.65pt;height:1.65pt;mso-position-horizontal-relative:page;mso-position-vertical-relative:paragraph;z-index:15730688" id="docshape10" coordorigin="1675,501" coordsize="33,33" path="m1696,533l1687,533,1683,532,1676,525,1675,521,1675,512,1676,509,1683,502,1687,501,1696,501,1699,502,1706,509,1707,512,1707,517,1707,521,1706,525,1699,532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Finance and </w:t>
      </w:r>
      <w:r>
        <w:rPr>
          <w:color w:val="6E6158"/>
        </w:rPr>
        <w:t>Lending Real Estate</w:t>
      </w:r>
    </w:p>
    <w:p>
      <w:pPr>
        <w:pStyle w:val="Heading1"/>
        <w:spacing w:before="160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5" w:lineRule="auto" w:before="146"/>
        <w:ind w:right="6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152470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5559pt;width:1.65pt;height:1.65pt;mso-position-horizontal-relative:page;mso-position-vertical-relative:paragraph;z-index:15731200" id="docshape11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Represents a national operator of convenience grocery store/automotive refueling facilities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connection with the acquisition and development of retail pad sites in Arizona. Is the lead</w:t>
      </w:r>
      <w:r>
        <w:rPr>
          <w:color w:val="6E6158"/>
          <w:spacing w:val="40"/>
        </w:rPr>
        <w:t> </w:t>
      </w:r>
      <w:r>
        <w:rPr>
          <w:color w:val="6E6158"/>
        </w:rPr>
        <w:t>attorney</w:t>
      </w:r>
      <w:r>
        <w:rPr>
          <w:color w:val="6E6158"/>
          <w:spacing w:val="29"/>
        </w:rPr>
        <w:t> </w:t>
      </w:r>
      <w:r>
        <w:rPr>
          <w:color w:val="6E6158"/>
        </w:rPr>
        <w:t>at</w:t>
      </w:r>
      <w:r>
        <w:rPr>
          <w:color w:val="6E6158"/>
          <w:spacing w:val="29"/>
        </w:rPr>
        <w:t> </w:t>
      </w:r>
      <w:r>
        <w:rPr>
          <w:color w:val="6E6158"/>
        </w:rPr>
        <w:t>Fennemore</w:t>
      </w:r>
      <w:r>
        <w:rPr>
          <w:color w:val="6E6158"/>
          <w:spacing w:val="29"/>
        </w:rPr>
        <w:t> </w:t>
      </w:r>
      <w:r>
        <w:rPr>
          <w:color w:val="6E6158"/>
        </w:rPr>
        <w:t>Craig</w:t>
      </w:r>
      <w:r>
        <w:rPr>
          <w:color w:val="6E6158"/>
          <w:spacing w:val="29"/>
        </w:rPr>
        <w:t> </w:t>
      </w:r>
      <w:r>
        <w:rPr>
          <w:color w:val="6E6158"/>
        </w:rPr>
        <w:t>who</w:t>
      </w:r>
      <w:r>
        <w:rPr>
          <w:color w:val="6E6158"/>
          <w:spacing w:val="29"/>
        </w:rPr>
        <w:t> </w:t>
      </w:r>
      <w:r>
        <w:rPr>
          <w:color w:val="6E6158"/>
        </w:rPr>
        <w:t>manages</w:t>
      </w:r>
      <w:r>
        <w:rPr>
          <w:color w:val="6E6158"/>
          <w:spacing w:val="29"/>
        </w:rPr>
        <w:t> </w:t>
      </w:r>
      <w:r>
        <w:rPr>
          <w:color w:val="6E6158"/>
        </w:rPr>
        <w:t>a</w:t>
      </w:r>
      <w:r>
        <w:rPr>
          <w:color w:val="6E6158"/>
          <w:spacing w:val="29"/>
        </w:rPr>
        <w:t> </w:t>
      </w:r>
      <w:r>
        <w:rPr>
          <w:color w:val="6E6158"/>
        </w:rPr>
        <w:t>team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attorneys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paralegals</w:t>
      </w:r>
      <w:r>
        <w:rPr>
          <w:color w:val="6E6158"/>
          <w:spacing w:val="29"/>
        </w:rPr>
        <w:t> </w:t>
      </w:r>
      <w:r>
        <w:rPr>
          <w:color w:val="6E6158"/>
        </w:rPr>
        <w:t>for</w:t>
      </w:r>
      <w:r>
        <w:rPr>
          <w:color w:val="6E6158"/>
          <w:spacing w:val="29"/>
        </w:rPr>
        <w:t> </w:t>
      </w:r>
      <w:r>
        <w:rPr>
          <w:color w:val="6E6158"/>
        </w:rPr>
        <w:t>the client’s real estate needs. Since 1998, he has represented the client in connection with the</w:t>
      </w:r>
      <w:r>
        <w:rPr>
          <w:color w:val="6E6158"/>
          <w:spacing w:val="40"/>
        </w:rPr>
        <w:t> </w:t>
      </w:r>
      <w:r>
        <w:rPr>
          <w:color w:val="6E6158"/>
        </w:rPr>
        <w:t>proposed</w:t>
      </w:r>
      <w:r>
        <w:rPr>
          <w:color w:val="6E6158"/>
          <w:spacing w:val="34"/>
        </w:rPr>
        <w:t> </w:t>
      </w:r>
      <w:r>
        <w:rPr>
          <w:color w:val="6E6158"/>
        </w:rPr>
        <w:t>acquisition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development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over</w:t>
      </w:r>
      <w:r>
        <w:rPr>
          <w:color w:val="6E6158"/>
          <w:spacing w:val="34"/>
        </w:rPr>
        <w:t> </w:t>
      </w:r>
      <w:r>
        <w:rPr>
          <w:color w:val="6E6158"/>
        </w:rPr>
        <w:t>150</w:t>
      </w:r>
      <w:r>
        <w:rPr>
          <w:color w:val="6E6158"/>
          <w:spacing w:val="34"/>
        </w:rPr>
        <w:t> </w:t>
      </w:r>
      <w:r>
        <w:rPr>
          <w:color w:val="6E6158"/>
        </w:rPr>
        <w:t>pad</w:t>
      </w:r>
      <w:r>
        <w:rPr>
          <w:color w:val="6E6158"/>
          <w:spacing w:val="34"/>
        </w:rPr>
        <w:t> </w:t>
      </w:r>
      <w:r>
        <w:rPr>
          <w:color w:val="6E6158"/>
        </w:rPr>
        <w:t>sites</w:t>
      </w:r>
      <w:r>
        <w:rPr>
          <w:color w:val="6E6158"/>
          <w:spacing w:val="34"/>
        </w:rPr>
        <w:t> </w:t>
      </w:r>
      <w:r>
        <w:rPr>
          <w:color w:val="6E6158"/>
        </w:rPr>
        <w:t>in</w:t>
      </w:r>
      <w:r>
        <w:rPr>
          <w:color w:val="6E6158"/>
          <w:spacing w:val="34"/>
        </w:rPr>
        <w:t> </w:t>
      </w:r>
      <w:r>
        <w:rPr>
          <w:color w:val="6E6158"/>
        </w:rPr>
        <w:t>Arizona.</w:t>
      </w:r>
      <w:r>
        <w:rPr>
          <w:color w:val="6E6158"/>
          <w:spacing w:val="34"/>
        </w:rPr>
        <w:t> </w:t>
      </w:r>
      <w:r>
        <w:rPr>
          <w:color w:val="6E6158"/>
        </w:rPr>
        <w:t>Representation</w:t>
      </w:r>
    </w:p>
    <w:p>
      <w:pPr>
        <w:pStyle w:val="BodyText"/>
        <w:spacing w:after="0" w:line="295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292" w:lineRule="auto" w:before="88"/>
        <w:ind w:right="721"/>
      </w:pPr>
      <w:r>
        <w:rPr>
          <w:color w:val="6E6158"/>
        </w:rPr>
        <w:t>includes preparation and negotiation of purchase and sale agreements, covenants, restrictions</w:t>
      </w:r>
      <w:r>
        <w:rPr>
          <w:color w:val="6E6158"/>
          <w:spacing w:val="22"/>
        </w:rPr>
        <w:t> </w:t>
      </w:r>
      <w:r>
        <w:rPr>
          <w:color w:val="6E6158"/>
        </w:rPr>
        <w:t>and</w:t>
      </w:r>
      <w:r>
        <w:rPr>
          <w:color w:val="6E6158"/>
          <w:spacing w:val="22"/>
        </w:rPr>
        <w:t> </w:t>
      </w:r>
      <w:r>
        <w:rPr>
          <w:color w:val="6E6158"/>
        </w:rPr>
        <w:t>easements</w:t>
      </w:r>
      <w:r>
        <w:rPr>
          <w:color w:val="6E6158"/>
          <w:spacing w:val="22"/>
        </w:rPr>
        <w:t> </w:t>
      </w:r>
      <w:r>
        <w:rPr>
          <w:color w:val="6E6158"/>
        </w:rPr>
        <w:t>agreements,</w:t>
      </w:r>
      <w:r>
        <w:rPr>
          <w:color w:val="6E6158"/>
          <w:spacing w:val="22"/>
        </w:rPr>
        <w:t> </w:t>
      </w:r>
      <w:r>
        <w:rPr>
          <w:color w:val="6E6158"/>
        </w:rPr>
        <w:t>development</w:t>
      </w:r>
      <w:r>
        <w:rPr>
          <w:color w:val="6E6158"/>
          <w:spacing w:val="22"/>
        </w:rPr>
        <w:t> </w:t>
      </w:r>
      <w:r>
        <w:rPr>
          <w:color w:val="6E6158"/>
        </w:rPr>
        <w:t>agreements,</w:t>
      </w:r>
      <w:r>
        <w:rPr>
          <w:color w:val="6E6158"/>
          <w:spacing w:val="22"/>
        </w:rPr>
        <w:t> </w:t>
      </w:r>
      <w:r>
        <w:rPr>
          <w:color w:val="6E6158"/>
        </w:rPr>
        <w:t>and</w:t>
      </w:r>
      <w:r>
        <w:rPr>
          <w:color w:val="6E6158"/>
          <w:spacing w:val="22"/>
        </w:rPr>
        <w:t> </w:t>
      </w:r>
      <w:r>
        <w:rPr>
          <w:color w:val="6E6158"/>
        </w:rPr>
        <w:t>ground</w:t>
      </w:r>
      <w:r>
        <w:rPr>
          <w:color w:val="6E6158"/>
          <w:spacing w:val="22"/>
        </w:rPr>
        <w:t> </w:t>
      </w:r>
      <w:r>
        <w:rPr>
          <w:color w:val="6E6158"/>
        </w:rPr>
        <w:t>leases.</w:t>
      </w:r>
    </w:p>
    <w:p>
      <w:pPr>
        <w:pStyle w:val="BodyText"/>
        <w:spacing w:line="292" w:lineRule="auto" w:before="132"/>
        <w:ind w:right="7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143179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82pt;width:1.65pt;height:1.65pt;mso-position-horizontal-relative:page;mso-position-vertical-relative:paragraph;z-index:15731712" id="docshape12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Represents a national bank in connection to the acquisition and development of retail pad</w:t>
      </w:r>
      <w:r>
        <w:rPr>
          <w:color w:val="6E6158"/>
          <w:spacing w:val="40"/>
        </w:rPr>
        <w:t> </w:t>
      </w:r>
      <w:r>
        <w:rPr>
          <w:color w:val="6E6158"/>
        </w:rPr>
        <w:t>sites in Arizona. Has represented the client in connection with the acquisition and</w:t>
      </w:r>
    </w:p>
    <w:p>
      <w:pPr>
        <w:pStyle w:val="BodyText"/>
        <w:spacing w:line="292" w:lineRule="auto" w:before="1"/>
        <w:ind w:right="721"/>
      </w:pPr>
      <w:r>
        <w:rPr>
          <w:color w:val="6E6158"/>
        </w:rPr>
        <w:t>development of over 40 properties in Arizona. Is the lead attorney at Fennemore Craig who</w:t>
      </w:r>
      <w:r>
        <w:rPr>
          <w:color w:val="6E6158"/>
          <w:spacing w:val="40"/>
        </w:rPr>
        <w:t> </w:t>
      </w:r>
      <w:r>
        <w:rPr>
          <w:color w:val="6E6158"/>
        </w:rPr>
        <w:t>manages a team of attorneys and paralegals for the client’s real estate needs.</w:t>
      </w:r>
    </w:p>
    <w:p>
      <w:pPr>
        <w:pStyle w:val="BodyText"/>
        <w:spacing w:line="292" w:lineRule="auto" w:before="9"/>
        <w:ind w:right="721"/>
      </w:pPr>
      <w:r>
        <w:rPr>
          <w:color w:val="6E6158"/>
        </w:rPr>
        <w:t>Representation includes among other things, preparation and negotiation of purchase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sale</w:t>
      </w:r>
      <w:r>
        <w:rPr>
          <w:color w:val="6E6158"/>
          <w:spacing w:val="40"/>
        </w:rPr>
        <w:t> </w:t>
      </w:r>
      <w:r>
        <w:rPr>
          <w:color w:val="6E6158"/>
        </w:rPr>
        <w:t>agreements,</w:t>
      </w:r>
      <w:r>
        <w:rPr>
          <w:color w:val="6E6158"/>
          <w:spacing w:val="40"/>
        </w:rPr>
        <w:t> </w:t>
      </w:r>
      <w:r>
        <w:rPr>
          <w:color w:val="6E6158"/>
        </w:rPr>
        <w:t>covenants,</w:t>
      </w:r>
      <w:r>
        <w:rPr>
          <w:color w:val="6E6158"/>
          <w:spacing w:val="40"/>
        </w:rPr>
        <w:t> </w:t>
      </w:r>
      <w:r>
        <w:rPr>
          <w:color w:val="6E6158"/>
        </w:rPr>
        <w:t>restrictions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easements</w:t>
      </w:r>
      <w:r>
        <w:rPr>
          <w:color w:val="6E6158"/>
          <w:spacing w:val="40"/>
        </w:rPr>
        <w:t> </w:t>
      </w:r>
      <w:r>
        <w:rPr>
          <w:color w:val="6E6158"/>
        </w:rPr>
        <w:t>agreements,</w:t>
      </w:r>
      <w:r>
        <w:rPr>
          <w:color w:val="6E6158"/>
          <w:spacing w:val="40"/>
        </w:rPr>
        <w:t> </w:t>
      </w:r>
      <w:r>
        <w:rPr>
          <w:color w:val="6E6158"/>
        </w:rPr>
        <w:t>development</w:t>
      </w:r>
    </w:p>
    <w:p>
      <w:pPr>
        <w:pStyle w:val="BodyText"/>
        <w:spacing w:before="2"/>
      </w:pPr>
      <w:r>
        <w:rPr>
          <w:color w:val="6E6158"/>
        </w:rPr>
        <w:t>agreements,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ground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leases.</w:t>
      </w:r>
    </w:p>
    <w:p>
      <w:pPr>
        <w:pStyle w:val="BodyText"/>
        <w:spacing w:line="295" w:lineRule="auto" w:before="173"/>
        <w:ind w:right="7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169664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59447pt;width:1.65pt;height:1.65pt;mso-position-horizontal-relative:page;mso-position-vertical-relative:paragraph;z-index:15732224" id="docshape13" coordorigin="1675,267" coordsize="33,33" path="m1696,300l1687,300,1683,298,1676,292,1675,288,1675,279,1676,275,1683,269,1687,267,1696,267,1699,269,1706,275,1707,279,1707,283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Represents national industrial supply and aerospace manufacturer in connection with its </w:t>
      </w:r>
      <w:r>
        <w:rPr>
          <w:color w:val="6E6158"/>
        </w:rPr>
        <w:t>real</w:t>
      </w:r>
      <w:r>
        <w:rPr>
          <w:color w:val="6E6158"/>
          <w:spacing w:val="40"/>
        </w:rPr>
        <w:t> </w:t>
      </w:r>
      <w:r>
        <w:rPr>
          <w:color w:val="6E6158"/>
        </w:rPr>
        <w:t>estate matters in Arizona. In 2006, represented the client in connection with a $10,000,000.00</w:t>
      </w:r>
      <w:r>
        <w:rPr>
          <w:color w:val="6E6158"/>
          <w:spacing w:val="40"/>
        </w:rPr>
        <w:t> </w:t>
      </w:r>
      <w:r>
        <w:rPr>
          <w:color w:val="6E6158"/>
        </w:rPr>
        <w:t>sale/leaseback of an Arizona manufacturing facility. In 2007, represented the client in connection</w:t>
      </w:r>
      <w:r>
        <w:rPr>
          <w:color w:val="6E6158"/>
          <w:spacing w:val="40"/>
        </w:rPr>
        <w:t> </w:t>
      </w:r>
      <w:r>
        <w:rPr>
          <w:color w:val="6E6158"/>
        </w:rPr>
        <w:t>with</w:t>
      </w:r>
      <w:r>
        <w:rPr>
          <w:color w:val="6E6158"/>
          <w:spacing w:val="40"/>
        </w:rPr>
        <w:t> </w:t>
      </w:r>
      <w:r>
        <w:rPr>
          <w:color w:val="6E6158"/>
        </w:rPr>
        <w:t>a</w:t>
      </w:r>
      <w:r>
        <w:rPr>
          <w:color w:val="6E6158"/>
          <w:spacing w:val="40"/>
        </w:rPr>
        <w:t> </w:t>
      </w:r>
      <w:r>
        <w:rPr>
          <w:color w:val="6E6158"/>
        </w:rPr>
        <w:t>$50,000,000.00</w:t>
      </w:r>
      <w:r>
        <w:rPr>
          <w:color w:val="6E6158"/>
          <w:spacing w:val="40"/>
        </w:rPr>
        <w:t> </w:t>
      </w:r>
      <w:r>
        <w:rPr>
          <w:color w:val="6E6158"/>
        </w:rPr>
        <w:t>sale/leaseback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an</w:t>
      </w:r>
      <w:r>
        <w:rPr>
          <w:color w:val="6E6158"/>
          <w:spacing w:val="40"/>
        </w:rPr>
        <w:t> </w:t>
      </w:r>
      <w:r>
        <w:rPr>
          <w:color w:val="6E6158"/>
        </w:rPr>
        <w:t>Arizona</w:t>
      </w:r>
      <w:r>
        <w:rPr>
          <w:color w:val="6E6158"/>
          <w:spacing w:val="40"/>
        </w:rPr>
        <w:t> </w:t>
      </w:r>
      <w:r>
        <w:rPr>
          <w:color w:val="6E6158"/>
        </w:rPr>
        <w:t>manufacturing</w:t>
      </w:r>
      <w:r>
        <w:rPr>
          <w:color w:val="6E6158"/>
          <w:spacing w:val="40"/>
        </w:rPr>
        <w:t> </w:t>
      </w:r>
      <w:r>
        <w:rPr>
          <w:color w:val="6E6158"/>
        </w:rPr>
        <w:t>facility.</w:t>
      </w:r>
    </w:p>
    <w:p>
      <w:pPr>
        <w:pStyle w:val="BodyText"/>
        <w:spacing w:line="297" w:lineRule="auto" w:before="124"/>
        <w:ind w:right="7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138115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5236pt;width:1.65pt;height:1.65pt;mso-position-horizontal-relative:page;mso-position-vertical-relative:paragraph;z-index:15732736" id="docshape14" coordorigin="1675,218" coordsize="33,33" path="m1696,250l1687,250,1683,248,1676,242,1675,238,1675,229,1676,225,1683,219,1687,218,1696,218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Represents a national hotel operator in connection with its acquisition and development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retail pad sites in Arizona. Representation includes, among other things, preparation and</w:t>
      </w:r>
      <w:r>
        <w:rPr>
          <w:color w:val="6E6158"/>
          <w:spacing w:val="40"/>
        </w:rPr>
        <w:t> </w:t>
      </w:r>
      <w:r>
        <w:rPr>
          <w:color w:val="6E6158"/>
        </w:rPr>
        <w:t>negotiation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purchase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sale</w:t>
      </w:r>
      <w:r>
        <w:rPr>
          <w:color w:val="6E6158"/>
          <w:spacing w:val="40"/>
        </w:rPr>
        <w:t> </w:t>
      </w:r>
      <w:r>
        <w:rPr>
          <w:color w:val="6E6158"/>
        </w:rPr>
        <w:t>agreements,</w:t>
      </w:r>
      <w:r>
        <w:rPr>
          <w:color w:val="6E6158"/>
          <w:spacing w:val="40"/>
        </w:rPr>
        <w:t> </w:t>
      </w:r>
      <w:r>
        <w:rPr>
          <w:color w:val="6E6158"/>
        </w:rPr>
        <w:t>covenants,</w:t>
      </w:r>
      <w:r>
        <w:rPr>
          <w:color w:val="6E6158"/>
          <w:spacing w:val="40"/>
        </w:rPr>
        <w:t> </w:t>
      </w:r>
      <w:r>
        <w:rPr>
          <w:color w:val="6E6158"/>
        </w:rPr>
        <w:t>restrictions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easements</w:t>
      </w:r>
    </w:p>
    <w:p>
      <w:pPr>
        <w:pStyle w:val="BodyText"/>
        <w:spacing w:line="229" w:lineRule="exact"/>
      </w:pPr>
      <w:r>
        <w:rPr>
          <w:color w:val="6E6158"/>
        </w:rPr>
        <w:t>agreements,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ground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leases.</w:t>
      </w:r>
    </w:p>
    <w:p>
      <w:pPr>
        <w:pStyle w:val="BodyText"/>
        <w:spacing w:line="292" w:lineRule="auto" w:before="182"/>
        <w:ind w:right="7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174982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815pt;width:1.65pt;height:1.65pt;mso-position-horizontal-relative:page;mso-position-vertical-relative:paragraph;z-index:15733248" id="docshape15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Along with Fennemore Craig attorney, Don Miner, represented the seller in connection with the sale of 832 acres of undeveloped real property to a master planned community developer on a “finished lot” basis.</w:t>
      </w:r>
    </w:p>
    <w:p>
      <w:pPr>
        <w:pStyle w:val="BodyText"/>
        <w:spacing w:line="295" w:lineRule="auto" w:before="124"/>
        <w:ind w:right="6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138081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2547pt;width:1.65pt;height:1.65pt;mso-position-horizontal-relative:page;mso-position-vertical-relative:paragraph;z-index:15733760" id="docshape16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commercial office developers in connection with preparation of office leasing</w:t>
      </w:r>
      <w:r>
        <w:rPr>
          <w:color w:val="6E6158"/>
          <w:spacing w:val="40"/>
        </w:rPr>
        <w:t> </w:t>
      </w:r>
      <w:r>
        <w:rPr>
          <w:color w:val="6E6158"/>
        </w:rPr>
        <w:t>forms, and thereafter negotiation and drafting of initial lease documentation and amendments for office projects known as Anchor Centre (336,939 rsf) and Northern</w:t>
      </w:r>
      <w:r>
        <w:rPr>
          <w:color w:val="6E6158"/>
          <w:spacing w:val="80"/>
        </w:rPr>
        <w:t> </w:t>
      </w:r>
      <w:r>
        <w:rPr>
          <w:color w:val="6E6158"/>
        </w:rPr>
        <w:t>Corporate Center (71,000 rsf).</w:t>
      </w:r>
    </w:p>
    <w:p>
      <w:pPr>
        <w:pStyle w:val="BodyText"/>
        <w:spacing w:line="297" w:lineRule="auto" w:before="123"/>
        <w:ind w:right="7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137646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8336pt;width:1.65pt;height:1.65pt;mso-position-horizontal-relative:page;mso-position-vertical-relative:paragraph;z-index:15734272" id="docshape17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Along with Fennemore Craig attorney, Jay Kramer, represented office developers in connection with preparation of base form office lease documentation for office projects 91</w:t>
      </w:r>
      <w:r>
        <w:rPr>
          <w:color w:val="6E6158"/>
          <w:spacing w:val="40"/>
        </w:rPr>
        <w:t> </w:t>
      </w:r>
      <w:r>
        <w:rPr>
          <w:color w:val="6E6158"/>
        </w:rPr>
        <w:t>Glendale (106,191 rsf) and West 101 Corporate Center (82,000 rsf).</w:t>
      </w:r>
    </w:p>
    <w:p>
      <w:pPr>
        <w:pStyle w:val="Heading1"/>
        <w:spacing w:before="157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152825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348pt;width:1.65pt;height:1.65pt;mso-position-horizontal-relative:page;mso-position-vertical-relative:paragraph;z-index:15734784" id="docshape18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Real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Estate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2019-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before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173514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258pt;width:1.65pt;height:1.65pt;mso-position-horizontal-relative:page;mso-position-vertical-relative:paragraph;z-index:15735296" id="docshape19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right="59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152754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7881pt;width:1.65pt;height:1.65pt;mso-position-horizontal-relative:page;mso-position-vertical-relative:paragraph;z-index:15735808" id="docshape20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411119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1632pt;width:1.65pt;height:1.65pt;mso-position-horizontal-relative:page;mso-position-vertical-relative:paragraph;z-index:15736320" id="docshape21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669485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2.715378pt;width:1.65pt;height:1.65pt;mso-position-horizontal-relative:page;mso-position-vertical-relative:paragraph;z-index:15736832" id="docshape22" coordorigin="1675,1054" coordsize="33,33" path="m1696,1087l1687,1087,1683,1085,1676,1079,1675,1075,1675,1066,1676,1062,1683,1056,1687,1054,1696,1054,1699,1056,1706,1062,1707,1066,1707,1071,1707,1075,1706,1079,1699,1085,1696,10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State Bar of Arizona Member, American Bar </w:t>
      </w:r>
      <w:r>
        <w:rPr>
          <w:color w:val="6E6158"/>
        </w:rPr>
        <w:t>Association Member, East Valley Partnership</w:t>
      </w:r>
    </w:p>
    <w:p>
      <w:pPr>
        <w:pStyle w:val="BodyText"/>
        <w:spacing w:line="420" w:lineRule="auto" w:before="6"/>
        <w:ind w:right="48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63062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65552pt;width:1.65pt;height:1.65pt;mso-position-horizontal-relative:page;mso-position-vertical-relative:paragraph;z-index:15737344" id="docshape23" coordorigin="1675,99" coordsize="33,33" path="m1696,132l1687,132,1683,130,1676,124,1675,120,1675,111,1676,107,1683,101,1687,99,1696,99,1699,101,1706,107,1707,111,1707,116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321428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09301pt;width:1.65pt;height:1.65pt;mso-position-horizontal-relative:page;mso-position-vertical-relative:paragraph;z-index:15737856" id="docshape24" coordorigin="1675,506" coordsize="33,33" path="m1696,539l1687,539,1683,537,1676,531,1675,527,1675,518,1676,514,1683,508,1687,506,1696,506,1699,508,1706,514,1707,518,1707,522,1707,527,1706,531,1699,537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Fennemore Craig </w:t>
      </w:r>
      <w:r>
        <w:rPr>
          <w:color w:val="6E6158"/>
        </w:rPr>
        <w:t>Foundation Associate Counsel, Marc Center</w:t>
      </w:r>
    </w:p>
    <w:p>
      <w:pPr>
        <w:pStyle w:val="Heading1"/>
        <w:spacing w:before="159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152805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194pt;width:1.65pt;height:1.65pt;mso-position-horizontal-relative:page;mso-position-vertical-relative:paragraph;z-index:15738368" id="docshape25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175067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486pt;width:1.65pt;height:1.65pt;mso-position-horizontal-relative:page;mso-position-vertical-relative:paragraph;z-index:15738880" id="docshape26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jbethea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2025-01-02T07:00:02Z</dcterms:created>
  <dcterms:modified xsi:type="dcterms:W3CDTF">2025-01-02T07:00:02Z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