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09" w:right="507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JOSEPH 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MARSHALL</w:t>
                              </w:r>
                            </w:p>
                            <w:p>
                              <w:pPr>
                                <w:spacing w:before="48"/>
                                <w:ind w:left="509" w:right="509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509" w:right="50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09" w:right="50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619.595.3252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09" w:right="50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joseph.marshall@fennemorelaw.com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09" w:right="507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JOSEPH 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MARSHALL</w:t>
                        </w:r>
                      </w:p>
                      <w:p>
                        <w:pPr>
                          <w:spacing w:before="48"/>
                          <w:ind w:left="509" w:right="50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509" w:right="509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09" w:right="509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619.595.3252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509" w:right="509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joseph.marshall@fennemorelaw.com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JOSEPH</w:t>
      </w:r>
      <w:r>
        <w:rPr>
          <w:color w:val="FF8100"/>
          <w:spacing w:val="6"/>
        </w:rPr>
        <w:t> </w:t>
      </w:r>
      <w:r>
        <w:rPr>
          <w:color w:val="FF8100"/>
        </w:rPr>
        <w:t>L.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MARSHALL</w:t>
      </w:r>
    </w:p>
    <w:p>
      <w:pPr>
        <w:pStyle w:val="BodyText"/>
        <w:spacing w:line="295" w:lineRule="auto" w:before="147"/>
        <w:ind w:left="104" w:right="576"/>
      </w:pPr>
      <w:r>
        <w:rPr>
          <w:color w:val="6E6158"/>
        </w:rPr>
        <w:t>Joseph L. Marshall practices in real estate and business transactions, tax planning, and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planning.</w:t>
      </w:r>
      <w:r>
        <w:rPr>
          <w:color w:val="6E6158"/>
          <w:spacing w:val="80"/>
        </w:rPr>
        <w:t> </w:t>
      </w:r>
      <w:r>
        <w:rPr>
          <w:color w:val="6E6158"/>
        </w:rPr>
        <w:t>He has extensive experience in all aspects of purchase and sale of real estate, financing large commercial properties, and commercial and retail leasing.</w:t>
      </w:r>
      <w:r>
        <w:rPr>
          <w:color w:val="6E6158"/>
          <w:spacing w:val="80"/>
        </w:rPr>
        <w:t> </w:t>
      </w:r>
      <w:r>
        <w:rPr>
          <w:color w:val="6E6158"/>
        </w:rPr>
        <w:t>He guides clients through</w:t>
      </w:r>
      <w:r>
        <w:rPr>
          <w:color w:val="6E6158"/>
          <w:spacing w:val="34"/>
        </w:rPr>
        <w:t> </w:t>
      </w:r>
      <w:r>
        <w:rPr>
          <w:color w:val="6E6158"/>
        </w:rPr>
        <w:t>real</w:t>
      </w:r>
      <w:r>
        <w:rPr>
          <w:color w:val="6E6158"/>
          <w:spacing w:val="34"/>
        </w:rPr>
        <w:t> </w:t>
      </w:r>
      <w:r>
        <w:rPr>
          <w:color w:val="6E6158"/>
        </w:rPr>
        <w:t>estate</w:t>
      </w:r>
      <w:r>
        <w:rPr>
          <w:color w:val="6E6158"/>
          <w:spacing w:val="34"/>
        </w:rPr>
        <w:t> </w:t>
      </w:r>
      <w:r>
        <w:rPr>
          <w:color w:val="6E6158"/>
        </w:rPr>
        <w:t>transactions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negotiates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behalf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owners,</w:t>
      </w:r>
      <w:r>
        <w:rPr>
          <w:color w:val="6E6158"/>
          <w:spacing w:val="34"/>
        </w:rPr>
        <w:t> </w:t>
      </w:r>
      <w:r>
        <w:rPr>
          <w:color w:val="6E6158"/>
        </w:rPr>
        <w:t>developers,</w:t>
      </w:r>
      <w:r>
        <w:rPr>
          <w:color w:val="6E6158"/>
          <w:spacing w:val="34"/>
        </w:rPr>
        <w:t> </w:t>
      </w:r>
      <w:r>
        <w:rPr>
          <w:color w:val="6E6158"/>
        </w:rPr>
        <w:t>landlords,</w:t>
      </w:r>
    </w:p>
    <w:p>
      <w:pPr>
        <w:pStyle w:val="BodyText"/>
        <w:spacing w:line="295" w:lineRule="auto" w:before="1"/>
        <w:ind w:left="104" w:right="544"/>
      </w:pPr>
      <w:r>
        <w:rPr>
          <w:color w:val="6E6158"/>
        </w:rPr>
        <w:t>tenants, lenders, borrowers, partnerships, limited liability companies, and corporations.</w:t>
      </w:r>
      <w:r>
        <w:rPr>
          <w:color w:val="6E6158"/>
          <w:spacing w:val="80"/>
        </w:rPr>
        <w:t> </w:t>
      </w:r>
      <w:r>
        <w:rPr>
          <w:color w:val="6E6158"/>
        </w:rPr>
        <w:t>His practice includes handling commercial real estate ownership, mergers and acquisitions, and</w:t>
      </w:r>
      <w:r>
        <w:rPr>
          <w:color w:val="6E6158"/>
          <w:spacing w:val="40"/>
        </w:rPr>
        <w:t> </w:t>
      </w:r>
      <w:r>
        <w:rPr>
          <w:color w:val="6E6158"/>
        </w:rPr>
        <w:t>business formations.</w:t>
      </w:r>
      <w:r>
        <w:rPr>
          <w:color w:val="6E6158"/>
          <w:spacing w:val="80"/>
        </w:rPr>
        <w:t> </w:t>
      </w:r>
      <w:r>
        <w:rPr>
          <w:color w:val="6E6158"/>
        </w:rPr>
        <w:t>Joseph has an advanced LL.M degree in taxation from New York University, and</w:t>
      </w:r>
      <w:r>
        <w:rPr>
          <w:color w:val="6E6158"/>
          <w:spacing w:val="26"/>
        </w:rPr>
        <w:t> </w:t>
      </w:r>
      <w:r>
        <w:rPr>
          <w:color w:val="6E6158"/>
        </w:rPr>
        <w:t>advises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wide</w:t>
      </w:r>
      <w:r>
        <w:rPr>
          <w:color w:val="6E6158"/>
          <w:spacing w:val="26"/>
        </w:rPr>
        <w:t> </w:t>
      </w:r>
      <w:r>
        <w:rPr>
          <w:color w:val="6E6158"/>
        </w:rPr>
        <w:t>variety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tax</w:t>
      </w:r>
      <w:r>
        <w:rPr>
          <w:color w:val="6E6158"/>
          <w:spacing w:val="26"/>
        </w:rPr>
        <w:t> </w:t>
      </w:r>
      <w:r>
        <w:rPr>
          <w:color w:val="6E6158"/>
        </w:rPr>
        <w:t>planning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dispute</w:t>
      </w:r>
      <w:r>
        <w:rPr>
          <w:color w:val="6E6158"/>
          <w:spacing w:val="26"/>
        </w:rPr>
        <w:t> </w:t>
      </w:r>
      <w:r>
        <w:rPr>
          <w:color w:val="6E6158"/>
        </w:rPr>
        <w:t>resolution</w:t>
      </w:r>
      <w:r>
        <w:rPr>
          <w:color w:val="6E6158"/>
          <w:spacing w:val="26"/>
        </w:rPr>
        <w:t> </w:t>
      </w:r>
      <w:r>
        <w:rPr>
          <w:color w:val="6E6158"/>
        </w:rPr>
        <w:t>matters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taxing</w:t>
      </w:r>
    </w:p>
    <w:p>
      <w:pPr>
        <w:pStyle w:val="BodyText"/>
        <w:spacing w:before="2"/>
        <w:ind w:left="104"/>
      </w:pPr>
      <w:r>
        <w:rPr>
          <w:color w:val="6E6158"/>
          <w:spacing w:val="-2"/>
        </w:rPr>
        <w:t>authorities.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 w:right="576"/>
      </w:pPr>
      <w:r>
        <w:rPr>
          <w:color w:val="6E6158"/>
        </w:rPr>
        <w:t>Notably skilled in real estate finance, Joseph represents both secured lenders in real estate loans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aids</w:t>
      </w:r>
      <w:r>
        <w:rPr>
          <w:color w:val="6E6158"/>
          <w:spacing w:val="31"/>
        </w:rPr>
        <w:t> </w:t>
      </w:r>
      <w:r>
        <w:rPr>
          <w:color w:val="6E6158"/>
        </w:rPr>
        <w:t>borrowers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securing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closing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  <w:r>
        <w:rPr>
          <w:color w:val="6E6158"/>
          <w:spacing w:val="31"/>
        </w:rPr>
        <w:t> </w:t>
      </w:r>
      <w:r>
        <w:rPr>
          <w:color w:val="6E6158"/>
        </w:rPr>
        <w:t>property</w:t>
      </w:r>
      <w:r>
        <w:rPr>
          <w:color w:val="6E6158"/>
          <w:spacing w:val="31"/>
        </w:rPr>
        <w:t> </w:t>
      </w:r>
      <w:r>
        <w:rPr>
          <w:color w:val="6E6158"/>
        </w:rPr>
        <w:t>loans,</w:t>
      </w:r>
      <w:r>
        <w:rPr>
          <w:color w:val="6E6158"/>
          <w:spacing w:val="31"/>
        </w:rPr>
        <w:t> </w:t>
      </w:r>
      <w:r>
        <w:rPr>
          <w:color w:val="6E6158"/>
        </w:rPr>
        <w:t>especially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construction</w:t>
      </w:r>
    </w:p>
    <w:p>
      <w:pPr>
        <w:pStyle w:val="BodyText"/>
        <w:spacing w:line="292" w:lineRule="auto" w:before="1"/>
        <w:ind w:left="104" w:right="576"/>
      </w:pPr>
      <w:r>
        <w:rPr>
          <w:color w:val="6E6158"/>
        </w:rPr>
        <w:t>financing.</w:t>
      </w:r>
      <w:r>
        <w:rPr>
          <w:color w:val="6E6158"/>
          <w:spacing w:val="40"/>
        </w:rPr>
        <w:t> </w:t>
      </w:r>
      <w:r>
        <w:rPr>
          <w:color w:val="6E6158"/>
        </w:rPr>
        <w:t>His knowledge also extends to complex commercial lease transactions, </w:t>
      </w:r>
      <w:r>
        <w:rPr>
          <w:color w:val="6E6158"/>
        </w:rPr>
        <w:t>particularly</w:t>
      </w:r>
      <w:r>
        <w:rPr>
          <w:color w:val="6E6158"/>
          <w:spacing w:val="40"/>
        </w:rPr>
        <w:t> </w:t>
      </w:r>
      <w:r>
        <w:rPr>
          <w:color w:val="6E6158"/>
        </w:rPr>
        <w:t>within the retail grocery sector.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152465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193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Masters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5"/>
        </w:rPr>
        <w:t> </w:t>
      </w:r>
      <w:r>
        <w:rPr>
          <w:color w:val="6E6158"/>
        </w:rPr>
        <w:t>Law,</w:t>
      </w:r>
      <w:r>
        <w:rPr>
          <w:color w:val="6E6158"/>
          <w:spacing w:val="6"/>
        </w:rPr>
        <w:t> </w:t>
      </w:r>
      <w:r>
        <w:rPr>
          <w:color w:val="6E6158"/>
        </w:rPr>
        <w:t>Taxation,</w:t>
      </w:r>
      <w:r>
        <w:rPr>
          <w:color w:val="6E6158"/>
          <w:spacing w:val="6"/>
        </w:rPr>
        <w:t> </w:t>
      </w:r>
      <w:r>
        <w:rPr>
          <w:color w:val="6E6158"/>
        </w:rPr>
        <w:t>New</w:t>
      </w:r>
      <w:r>
        <w:rPr>
          <w:color w:val="6E6158"/>
          <w:spacing w:val="6"/>
        </w:rPr>
        <w:t> </w:t>
      </w:r>
      <w:r>
        <w:rPr>
          <w:color w:val="6E6158"/>
        </w:rPr>
        <w:t>York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line="420" w:lineRule="auto" w:before="174"/>
        <w:ind w:right="42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170195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1237pt;width:1.65pt;height:1.65pt;mso-position-horizontal-relative:page;mso-position-vertical-relative:paragraph;z-index:15729664" id="docshape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428561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4987pt;width:1.65pt;height:1.65pt;mso-position-horizontal-relative:page;mso-position-vertical-relative:paragraph;z-index:15730176" id="docshape9" coordorigin="1675,675" coordsize="33,33" path="m1696,707l1687,707,1683,706,1676,700,1675,696,1675,687,1676,683,1683,676,1687,675,1696,675,1699,676,1706,683,1707,687,1707,691,1707,696,1706,700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Hastings College of </w:t>
      </w:r>
      <w:r>
        <w:rPr>
          <w:color w:val="6E6158"/>
        </w:rPr>
        <w:t>Law</w:t>
      </w:r>
      <w:r>
        <w:rPr>
          <w:color w:val="6E6158"/>
        </w:rPr>
        <w:t> B.A., University of California, San Diego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5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152711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501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411076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8252pt;width:1.65pt;height:1.65pt;mso-position-horizontal-relative:page;mso-position-vertical-relative:paragraph;z-index:15731200" id="docshape11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669442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11998pt;width:1.65pt;height:1.65pt;mso-position-horizontal-relative:page;mso-position-vertical-relative:paragraph;z-index:15731712" id="docshape12" coordorigin="1675,1054" coordsize="33,33" path="m1696,1087l1687,1087,1683,1085,1676,1079,1675,1075,1675,1066,1676,1062,1683,1056,1687,1054,1696,1054,1699,1056,1706,1062,1707,1066,1707,1071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  <w:spacing w:val="-2"/>
        </w:rPr>
        <w:t>Agribusiness </w:t>
      </w:r>
      <w:r>
        <w:rPr>
          <w:color w:val="6E6158"/>
        </w:rPr>
        <w:t>Business &amp; </w:t>
      </w:r>
      <w:r>
        <w:rPr>
          <w:color w:val="6E6158"/>
        </w:rPr>
        <w:t>Finance</w:t>
      </w:r>
    </w:p>
    <w:p>
      <w:pPr>
        <w:pStyle w:val="BodyText"/>
        <w:spacing w:line="420" w:lineRule="auto" w:before="5"/>
        <w:ind w:right="53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63019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2172pt;width:1.65pt;height:1.65pt;mso-position-horizontal-relative:page;mso-position-vertical-relative:paragraph;z-index:15732224" id="docshape13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321385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05922pt;width:1.65pt;height:1.65pt;mso-position-horizontal-relative:page;mso-position-vertical-relative:paragraph;z-index:15732736" id="docshape14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 Office &amp; Private Client </w:t>
      </w:r>
      <w:r>
        <w:rPr>
          <w:color w:val="6E6158"/>
        </w:rPr>
        <w:t>Attorneys Food &amp; Beverage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58835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2703pt;width:1.65pt;height:1.65pt;mso-position-horizontal-relative:page;mso-position-vertical-relative:paragraph;z-index:15733248" id="docshape15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Acquisitions</w:t>
      </w:r>
    </w:p>
    <w:p>
      <w:pPr>
        <w:pStyle w:val="BodyText"/>
        <w:spacing w:after="0" w:line="231" w:lineRule="exact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760" id="docshape1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4272" id="docshape1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Heading1"/>
        <w:spacing w:before="22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35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152969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831pt;width:1.65pt;height:1.65pt;mso-position-horizontal-relative:page;mso-position-vertical-relative:paragraph;z-index:15734784" id="docshape1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411334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8580pt;width:1.65pt;height:1.65pt;mso-position-horizontal-relative:page;mso-position-vertical-relative:paragraph;z-index:15735296" id="docshape19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669700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3233pt;width:1.65pt;height:1.65pt;mso-position-horizontal-relative:page;mso-position-vertical-relative:paragraph;z-index:15735808" id="docshape20" coordorigin="1675,1055" coordsize="33,33" path="m1696,1087l1687,1087,1683,1086,1676,1079,1675,1075,1675,1066,1676,1063,1683,1056,1687,1055,1696,1055,1699,1056,1706,1063,1707,1066,1707,1071,1707,1075,1706,1079,1699,1086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 Preeminent™ Peer Review Rating by Martindale-</w:t>
      </w:r>
      <w:r>
        <w:rPr>
          <w:color w:val="6E6158"/>
        </w:rPr>
        <w:t>Hubbell Top San Diego Lawyer by San Diego Magazine, 2015-2023 Rising Star by Super Lawyers, Real Estate</w:t>
      </w:r>
    </w:p>
    <w:p>
      <w:pPr>
        <w:pStyle w:val="Heading1"/>
        <w:spacing w:before="15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157840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836pt;width:1.65pt;height:1.65pt;mso-position-horizontal-relative:page;mso-position-vertical-relative:paragraph;z-index:15736320" id="docshape2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Steering</w:t>
      </w:r>
      <w:r>
        <w:rPr>
          <w:color w:val="6E6158"/>
          <w:spacing w:val="15"/>
        </w:rPr>
        <w:t> </w:t>
      </w:r>
      <w:r>
        <w:rPr>
          <w:color w:val="6E6158"/>
        </w:rPr>
        <w:t>Committee,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Economics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Roundtable</w:t>
      </w:r>
    </w:p>
    <w:p>
      <w:pPr>
        <w:pStyle w:val="BodyText"/>
        <w:spacing w:line="420" w:lineRule="auto" w:before="174"/>
        <w:ind w:right="5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169854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4404pt;width:1.65pt;height:1.65pt;mso-position-horizontal-relative:page;mso-position-vertical-relative:paragraph;z-index:15736832" id="docshape2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428220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8155pt;width:1.65pt;height:1.65pt;mso-position-horizontal-relative:page;mso-position-vertical-relative:paragraph;z-index:15737344" id="docshape23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Lawyers Association Tax Procedures and Administration </w:t>
      </w:r>
      <w:r>
        <w:rPr>
          <w:color w:val="6E6158"/>
        </w:rPr>
        <w:t>Committee Member, Taxation Section, American Bar Association</w:t>
      </w:r>
    </w:p>
    <w:p>
      <w:pPr>
        <w:pStyle w:val="BodyText"/>
        <w:spacing w:line="302" w:lineRule="auto"/>
        <w:ind w:right="7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58355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4935pt;width:1.65pt;height:1.65pt;mso-position-horizontal-relative:page;mso-position-vertical-relative:paragraph;z-index:15737856" id="docshape24" coordorigin="1675,92" coordsize="33,33" path="m1696,124l1687,124,1683,123,1676,117,1675,113,1675,104,1676,100,1683,93,1687,92,1696,92,1699,93,1706,100,1707,104,1707,108,1707,113,1706,117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Council of Shopping Centers and Steering Committee, </w:t>
      </w:r>
      <w:r>
        <w:rPr>
          <w:color w:val="6E6158"/>
        </w:rPr>
        <w:t>UCSD Economic Roundtable</w:t>
      </w:r>
    </w:p>
    <w:p>
      <w:pPr>
        <w:pStyle w:val="BodyText"/>
        <w:spacing w:line="420" w:lineRule="auto" w:before="111"/>
        <w:ind w:right="53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129971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33967pt;width:1.65pt;height:1.65pt;mso-position-horizontal-relative:page;mso-position-vertical-relative:paragraph;z-index:15738368" id="docshape25" coordorigin="1675,205" coordsize="33,33" path="m1696,237l1687,237,1683,236,1676,229,1675,225,1675,216,1676,213,1683,206,1687,205,1696,205,1699,206,1706,213,1707,216,1707,221,1707,225,1706,229,1699,236,1696,2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388337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577717pt;width:1.65pt;height:1.65pt;mso-position-horizontal-relative:page;mso-position-vertical-relative:paragraph;z-index:15738880" id="docshape26" coordorigin="1675,612" coordsize="33,33" path="m1696,644l1687,644,1683,643,1676,636,1675,632,1675,623,1676,619,1683,613,1687,612,1696,612,1699,613,1706,619,1707,623,1707,628,1707,632,1706,636,1699,643,1696,6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 Member,</w:t>
      </w:r>
      <w:r>
        <w:rPr>
          <w:color w:val="6E6158"/>
          <w:spacing w:val="5"/>
        </w:rPr>
        <w:t> </w:t>
      </w:r>
      <w:r>
        <w:rPr>
          <w:color w:val="6E6158"/>
        </w:rPr>
        <w:t>San</w:t>
      </w:r>
      <w:r>
        <w:rPr>
          <w:color w:val="6E6158"/>
          <w:spacing w:val="6"/>
        </w:rPr>
        <w:t> </w:t>
      </w:r>
      <w:r>
        <w:rPr>
          <w:color w:val="6E6158"/>
        </w:rPr>
        <w:t>Diego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58477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4497pt;width:1.65pt;height:1.65pt;mso-position-horizontal-relative:page;mso-position-vertical-relative:paragraph;z-index:15739392" id="docshape27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Grossmont</w:t>
      </w:r>
      <w:r>
        <w:rPr>
          <w:color w:val="6E6158"/>
          <w:spacing w:val="14"/>
        </w:rPr>
        <w:t> </w:t>
      </w:r>
      <w:r>
        <w:rPr>
          <w:color w:val="6E6158"/>
        </w:rPr>
        <w:t>Shopping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Center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152652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852pt;width:1.65pt;height:1.65pt;mso-position-horizontal-relative:page;mso-position-vertical-relative:paragraph;z-index:15739904" id="docshape2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joseph.marsha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2025-01-02T06:21:04Z</dcterms:created>
  <dcterms:modified xsi:type="dcterms:W3CDTF">2025-01-02T06:21:04Z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