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55098" y="1369338"/>
                            <a:ext cx="198945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9455" h="320675">
                                <a:moveTo>
                                  <a:pt x="1989416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989416" y="320382"/>
                                </a:lnTo>
                                <a:lnTo>
                                  <a:pt x="1989416" y="315214"/>
                                </a:lnTo>
                                <a:close/>
                              </a:path>
                              <a:path w="1989455" h="320675">
                                <a:moveTo>
                                  <a:pt x="19894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89416" y="5168"/>
                                </a:lnTo>
                                <a:lnTo>
                                  <a:pt x="1989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MARK A.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NESVIG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602.916.5472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602.916.5672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mnesvig@fennemorelaw.com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598;top:2156;width:3133;height:505" id="docshape5" coordorigin="5599,2156" coordsize="3133,505" path="m8732,2653l5599,2653,5599,2661,8732,2661,8732,2653xm8732,2156l5599,2156,5599,2165,8732,2165,8732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MARK A.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NESVIG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602.916.5472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602.916.5672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mnesvig@fennemorelaw.com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82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MARK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z w:val="24"/>
        </w:rPr>
        <w:t>A.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2"/>
          <w:sz w:val="24"/>
        </w:rPr>
        <w:t>NESVIG</w:t>
      </w:r>
    </w:p>
    <w:p>
      <w:pPr>
        <w:pStyle w:val="BodyText"/>
        <w:spacing w:before="147"/>
        <w:ind w:left="104"/>
      </w:pPr>
      <w:r>
        <w:rPr>
          <w:color w:val="6E6158"/>
        </w:rPr>
        <w:t>Mark</w:t>
      </w:r>
      <w:r>
        <w:rPr>
          <w:color w:val="6E6158"/>
          <w:spacing w:val="11"/>
        </w:rPr>
        <w:t> </w:t>
      </w:r>
      <w:r>
        <w:rPr>
          <w:color w:val="6E6158"/>
        </w:rPr>
        <w:t>practices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areas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real</w:t>
      </w:r>
      <w:r>
        <w:rPr>
          <w:color w:val="6E6158"/>
          <w:spacing w:val="11"/>
        </w:rPr>
        <w:t> </w:t>
      </w:r>
      <w:r>
        <w:rPr>
          <w:color w:val="6E6158"/>
        </w:rPr>
        <w:t>estate</w:t>
      </w:r>
      <w:r>
        <w:rPr>
          <w:color w:val="6E6158"/>
          <w:spacing w:val="11"/>
        </w:rPr>
        <w:t> </w:t>
      </w:r>
      <w:r>
        <w:rPr>
          <w:color w:val="6E6158"/>
        </w:rPr>
        <w:t>transactions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financing.</w:t>
      </w:r>
      <w:r>
        <w:rPr>
          <w:color w:val="6E6158"/>
          <w:spacing w:val="12"/>
        </w:rPr>
        <w:t> </w:t>
      </w:r>
      <w:r>
        <w:rPr>
          <w:color w:val="6E6158"/>
        </w:rPr>
        <w:t>His</w:t>
      </w:r>
      <w:r>
        <w:rPr>
          <w:color w:val="6E6158"/>
          <w:spacing w:val="11"/>
        </w:rPr>
        <w:t> </w:t>
      </w:r>
      <w:r>
        <w:rPr>
          <w:color w:val="6E6158"/>
        </w:rPr>
        <w:t>work</w:t>
      </w:r>
      <w:r>
        <w:rPr>
          <w:color w:val="6E6158"/>
          <w:spacing w:val="11"/>
        </w:rPr>
        <w:t> </w:t>
      </w:r>
      <w:r>
        <w:rPr>
          <w:color w:val="6E6158"/>
        </w:rPr>
        <w:t>includes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the</w:t>
      </w:r>
    </w:p>
    <w:p>
      <w:pPr>
        <w:pStyle w:val="BodyText"/>
        <w:spacing w:line="292" w:lineRule="auto" w:before="60"/>
        <w:ind w:left="104" w:right="627"/>
      </w:pPr>
      <w:r>
        <w:rPr>
          <w:color w:val="6E6158"/>
        </w:rPr>
        <w:t>acquisition, development, financing, leasing, operation and sale of a broad range of </w:t>
      </w:r>
      <w:r>
        <w:rPr>
          <w:color w:val="6E6158"/>
        </w:rPr>
        <w:t>properties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projects,</w:t>
      </w:r>
      <w:r>
        <w:rPr>
          <w:color w:val="6E6158"/>
          <w:spacing w:val="38"/>
        </w:rPr>
        <w:t> </w:t>
      </w:r>
      <w:r>
        <w:rPr>
          <w:color w:val="6E6158"/>
        </w:rPr>
        <w:t>including</w:t>
      </w:r>
      <w:r>
        <w:rPr>
          <w:color w:val="6E6158"/>
          <w:spacing w:val="38"/>
        </w:rPr>
        <w:t> </w:t>
      </w:r>
      <w:r>
        <w:rPr>
          <w:color w:val="6E6158"/>
        </w:rPr>
        <w:t>planned</w:t>
      </w:r>
      <w:r>
        <w:rPr>
          <w:color w:val="6E6158"/>
          <w:spacing w:val="38"/>
        </w:rPr>
        <w:t> </w:t>
      </w:r>
      <w:r>
        <w:rPr>
          <w:color w:val="6E6158"/>
        </w:rPr>
        <w:t>communities,</w:t>
      </w:r>
      <w:r>
        <w:rPr>
          <w:color w:val="6E6158"/>
          <w:spacing w:val="38"/>
        </w:rPr>
        <w:t> </w:t>
      </w:r>
      <w:r>
        <w:rPr>
          <w:color w:val="6E6158"/>
        </w:rPr>
        <w:t>office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industrial</w:t>
      </w:r>
      <w:r>
        <w:rPr>
          <w:color w:val="6E6158"/>
          <w:spacing w:val="38"/>
        </w:rPr>
        <w:t> </w:t>
      </w:r>
      <w:r>
        <w:rPr>
          <w:color w:val="6E6158"/>
        </w:rPr>
        <w:t>projects,</w:t>
      </w:r>
      <w:r>
        <w:rPr>
          <w:color w:val="6E6158"/>
          <w:spacing w:val="38"/>
        </w:rPr>
        <w:t> </w:t>
      </w:r>
      <w:r>
        <w:rPr>
          <w:color w:val="6E6158"/>
        </w:rPr>
        <w:t>apartments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</w:p>
    <w:p>
      <w:pPr>
        <w:pStyle w:val="BodyText"/>
        <w:spacing w:line="302" w:lineRule="auto" w:before="1"/>
        <w:ind w:left="104" w:right="738"/>
      </w:pPr>
      <w:r>
        <w:rPr>
          <w:color w:val="6E6158"/>
        </w:rPr>
        <w:t>condominiums. He also represents a wide variety of developers, investors and </w:t>
      </w:r>
      <w:r>
        <w:rPr>
          <w:color w:val="6E6158"/>
        </w:rPr>
        <w:t>financial </w:t>
      </w:r>
      <w:r>
        <w:rPr>
          <w:color w:val="6E6158"/>
          <w:spacing w:val="-2"/>
        </w:rPr>
        <w:t>institutions.</w:t>
      </w:r>
    </w:p>
    <w:p>
      <w:pPr>
        <w:pStyle w:val="BodyText"/>
        <w:spacing w:line="292" w:lineRule="auto" w:before="186"/>
        <w:ind w:left="104" w:right="738"/>
      </w:pPr>
      <w:r>
        <w:rPr>
          <w:color w:val="6E6158"/>
        </w:rPr>
        <w:t>Mark chose a career in law because he enjoys helping people and working on complex</w:t>
      </w:r>
      <w:r>
        <w:rPr>
          <w:color w:val="6E6158"/>
          <w:spacing w:val="40"/>
        </w:rPr>
        <w:t> </w:t>
      </w:r>
      <w:r>
        <w:rPr>
          <w:color w:val="6E6158"/>
        </w:rPr>
        <w:t>projects.</w:t>
      </w:r>
      <w:r>
        <w:rPr>
          <w:color w:val="6E6158"/>
          <w:spacing w:val="13"/>
        </w:rPr>
        <w:t> </w:t>
      </w:r>
      <w:r>
        <w:rPr>
          <w:color w:val="6E6158"/>
        </w:rPr>
        <w:t>With</w:t>
      </w:r>
      <w:r>
        <w:rPr>
          <w:color w:val="6E6158"/>
          <w:spacing w:val="13"/>
        </w:rPr>
        <w:t> </w:t>
      </w:r>
      <w:r>
        <w:rPr>
          <w:color w:val="6E6158"/>
        </w:rPr>
        <w:t>his</w:t>
      </w:r>
      <w:r>
        <w:rPr>
          <w:color w:val="6E6158"/>
          <w:spacing w:val="13"/>
        </w:rPr>
        <w:t> </w:t>
      </w:r>
      <w:r>
        <w:rPr>
          <w:color w:val="6E6158"/>
        </w:rPr>
        <w:t>work</w:t>
      </w:r>
      <w:r>
        <w:rPr>
          <w:color w:val="6E6158"/>
          <w:spacing w:val="13"/>
        </w:rPr>
        <w:t> </w:t>
      </w:r>
      <w:r>
        <w:rPr>
          <w:color w:val="6E6158"/>
        </w:rPr>
        <w:t>today,</w:t>
      </w:r>
      <w:r>
        <w:rPr>
          <w:color w:val="6E6158"/>
          <w:spacing w:val="13"/>
        </w:rPr>
        <w:t> </w:t>
      </w:r>
      <w:r>
        <w:rPr>
          <w:color w:val="6E6158"/>
        </w:rPr>
        <w:t>he</w:t>
      </w:r>
      <w:r>
        <w:rPr>
          <w:color w:val="6E6158"/>
          <w:spacing w:val="13"/>
        </w:rPr>
        <w:t> </w:t>
      </w:r>
      <w:r>
        <w:rPr>
          <w:color w:val="6E6158"/>
        </w:rPr>
        <w:t>is</w:t>
      </w:r>
      <w:r>
        <w:rPr>
          <w:color w:val="6E6158"/>
          <w:spacing w:val="13"/>
        </w:rPr>
        <w:t> </w:t>
      </w:r>
      <w:r>
        <w:rPr>
          <w:color w:val="6E6158"/>
        </w:rPr>
        <w:t>able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3"/>
        </w:rPr>
        <w:t> </w:t>
      </w:r>
      <w:r>
        <w:rPr>
          <w:color w:val="6E6158"/>
        </w:rPr>
        <w:t>see</w:t>
      </w:r>
      <w:r>
        <w:rPr>
          <w:color w:val="6E6158"/>
          <w:spacing w:val="13"/>
        </w:rPr>
        <w:t> </w:t>
      </w:r>
      <w:r>
        <w:rPr>
          <w:color w:val="6E6158"/>
        </w:rPr>
        <w:t>projects</w:t>
      </w:r>
      <w:r>
        <w:rPr>
          <w:color w:val="6E6158"/>
          <w:spacing w:val="13"/>
        </w:rPr>
        <w:t> </w:t>
      </w:r>
      <w:r>
        <w:rPr>
          <w:color w:val="6E6158"/>
        </w:rPr>
        <w:t>move</w:t>
      </w:r>
      <w:r>
        <w:rPr>
          <w:color w:val="6E6158"/>
          <w:spacing w:val="13"/>
        </w:rPr>
        <w:t> </w:t>
      </w:r>
      <w:r>
        <w:rPr>
          <w:color w:val="6E6158"/>
        </w:rPr>
        <w:t>from</w:t>
      </w:r>
      <w:r>
        <w:rPr>
          <w:color w:val="6E6158"/>
          <w:spacing w:val="13"/>
        </w:rPr>
        <w:t> </w:t>
      </w:r>
      <w:r>
        <w:rPr>
          <w:color w:val="6E6158"/>
        </w:rPr>
        <w:t>inception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3"/>
        </w:rPr>
        <w:t> </w:t>
      </w:r>
      <w:r>
        <w:rPr>
          <w:color w:val="6E6158"/>
        </w:rPr>
        <w:t>completion.</w:t>
      </w:r>
    </w:p>
    <w:p>
      <w:pPr>
        <w:pStyle w:val="BodyText"/>
        <w:spacing w:before="196"/>
        <w:ind w:left="104"/>
      </w:pPr>
      <w:r>
        <w:rPr>
          <w:color w:val="6E6158"/>
        </w:rPr>
        <w:t>Away</w:t>
      </w:r>
      <w:r>
        <w:rPr>
          <w:color w:val="6E6158"/>
          <w:spacing w:val="10"/>
        </w:rPr>
        <w:t> </w:t>
      </w:r>
      <w:r>
        <w:rPr>
          <w:color w:val="6E6158"/>
        </w:rPr>
        <w:t>from</w:t>
      </w:r>
      <w:r>
        <w:rPr>
          <w:color w:val="6E6158"/>
          <w:spacing w:val="10"/>
        </w:rPr>
        <w:t> </w:t>
      </w:r>
      <w:r>
        <w:rPr>
          <w:color w:val="6E6158"/>
        </w:rPr>
        <w:t>work,</w:t>
      </w:r>
      <w:r>
        <w:rPr>
          <w:color w:val="6E6158"/>
          <w:spacing w:val="10"/>
        </w:rPr>
        <w:t> </w:t>
      </w:r>
      <w:r>
        <w:rPr>
          <w:color w:val="6E6158"/>
        </w:rPr>
        <w:t>Mark</w:t>
      </w:r>
      <w:r>
        <w:rPr>
          <w:color w:val="6E6158"/>
          <w:spacing w:val="11"/>
        </w:rPr>
        <w:t> </w:t>
      </w:r>
      <w:r>
        <w:rPr>
          <w:color w:val="6E6158"/>
        </w:rPr>
        <w:t>enjoys</w:t>
      </w:r>
      <w:r>
        <w:rPr>
          <w:color w:val="6E6158"/>
          <w:spacing w:val="10"/>
        </w:rPr>
        <w:t> </w:t>
      </w:r>
      <w:r>
        <w:rPr>
          <w:color w:val="6E6158"/>
        </w:rPr>
        <w:t>golfing,</w:t>
      </w:r>
      <w:r>
        <w:rPr>
          <w:color w:val="6E6158"/>
          <w:spacing w:val="10"/>
        </w:rPr>
        <w:t> </w:t>
      </w:r>
      <w:r>
        <w:rPr>
          <w:color w:val="6E6158"/>
        </w:rPr>
        <w:t>reading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spending</w:t>
      </w:r>
      <w:r>
        <w:rPr>
          <w:color w:val="6E6158"/>
          <w:spacing w:val="10"/>
        </w:rPr>
        <w:t> </w:t>
      </w:r>
      <w:r>
        <w:rPr>
          <w:color w:val="6E6158"/>
        </w:rPr>
        <w:t>time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0"/>
        </w:rPr>
        <w:t> </w:t>
      </w:r>
      <w:r>
        <w:rPr>
          <w:color w:val="6E6158"/>
        </w:rPr>
        <w:t>family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friends.</w:t>
      </w:r>
    </w:p>
    <w:p>
      <w:pPr>
        <w:pStyle w:val="Heading1"/>
        <w:spacing w:before="222"/>
      </w:pPr>
      <w:r>
        <w:rPr>
          <w:color w:val="FF8100"/>
          <w:spacing w:val="-2"/>
        </w:rPr>
        <w:t>EDUCATION</w:t>
      </w:r>
    </w:p>
    <w:p>
      <w:pPr>
        <w:pStyle w:val="BodyText"/>
        <w:spacing w:line="408" w:lineRule="auto" w:before="146"/>
        <w:ind w:right="17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152489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7022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410854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0773pt;width:1.65pt;height:1.65pt;mso-position-horizontal-relative:page;mso-position-vertical-relative:paragraph;z-index:15729664" id="docshape8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with high distinction, University of Arizona, James E. Rogers College of </w:t>
      </w:r>
      <w:r>
        <w:rPr>
          <w:color w:val="6E6158"/>
        </w:rPr>
        <w:t>Law</w:t>
      </w:r>
      <w:r>
        <w:rPr>
          <w:color w:val="6E6158"/>
        </w:rPr>
        <w:t> B.A., </w:t>
      </w:r>
      <w:r>
        <w:rPr>
          <w:i/>
          <w:color w:val="6E6158"/>
          <w:sz w:val="20"/>
        </w:rPr>
        <w:t>cum laude</w:t>
      </w:r>
      <w:r>
        <w:rPr>
          <w:color w:val="6E6158"/>
        </w:rPr>
        <w:t>, Pacific Lutheran University</w:t>
      </w:r>
    </w:p>
    <w:p>
      <w:pPr>
        <w:pStyle w:val="Heading1"/>
        <w:spacing w:before="16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1"/>
        <w:ind w:left="0"/>
        <w:rPr>
          <w:b/>
        </w:rPr>
      </w:pPr>
    </w:p>
    <w:p>
      <w:pPr>
        <w:pStyle w:val="BodyText"/>
        <w:spacing w:line="420" w:lineRule="auto"/>
        <w:ind w:right="59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59600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9299pt;width:1.65pt;height:1.65pt;mso-position-horizontal-relative:page;mso-position-vertical-relative:paragraph;z-index:15730176" id="docshape9" coordorigin="1675,94" coordsize="33,33" path="m1696,126l1687,126,1683,125,1676,118,1675,115,1675,106,1676,102,1683,95,1687,94,1696,94,1699,95,1706,102,1707,106,1707,110,1707,115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317966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36739pt;width:1.65pt;height:1.65pt;mso-position-horizontal-relative:page;mso-position-vertical-relative:paragraph;z-index:15730688" id="docshape10" coordorigin="1675,501" coordsize="33,33" path="m1696,533l1687,533,1683,532,1676,525,1675,522,1675,513,1676,509,1683,502,1687,501,1696,501,1699,502,1706,509,1707,513,1707,517,1707,522,1706,525,1699,532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Finance and </w:t>
      </w:r>
      <w:r>
        <w:rPr>
          <w:color w:val="6E6158"/>
        </w:rPr>
        <w:t>Lending Real Estate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58591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3521pt;width:1.65pt;height:1.65pt;mso-position-horizontal-relative:page;mso-position-vertical-relative:paragraph;z-index:15731200" id="docshape11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Finance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61"/>
        <w:ind w:left="0"/>
        <w:rPr>
          <w:b/>
        </w:rPr>
      </w:pPr>
    </w:p>
    <w:p>
      <w:pPr>
        <w:pStyle w:val="BodyText"/>
        <w:spacing w:line="292" w:lineRule="auto"/>
        <w:ind w:right="6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59551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89089pt;width:1.65pt;height:1.65pt;mso-position-horizontal-relative:page;mso-position-vertical-relative:paragraph;z-index:15731712" id="docshape12" coordorigin="1675,94" coordsize="33,33" path="m1696,126l1687,126,1683,125,1676,118,1675,115,1675,106,1676,102,1683,95,1687,94,1696,94,1699,95,1706,102,1707,106,1707,110,1707,115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institutional investor in the operation and sale of approximately 628,000 </w:t>
      </w:r>
      <w:r>
        <w:rPr>
          <w:color w:val="6E6158"/>
        </w:rPr>
        <w:t>square-</w:t>
      </w:r>
      <w:r>
        <w:rPr>
          <w:color w:val="6E6158"/>
          <w:spacing w:val="40"/>
        </w:rPr>
        <w:t> </w:t>
      </w:r>
      <w:r>
        <w:rPr>
          <w:color w:val="6E6158"/>
        </w:rPr>
        <w:t>foot</w:t>
      </w:r>
      <w:r>
        <w:rPr>
          <w:color w:val="6E6158"/>
          <w:spacing w:val="34"/>
        </w:rPr>
        <w:t> </w:t>
      </w:r>
      <w:r>
        <w:rPr>
          <w:color w:val="6E6158"/>
        </w:rPr>
        <w:t>mixed</w:t>
      </w:r>
      <w:r>
        <w:rPr>
          <w:color w:val="6E6158"/>
          <w:spacing w:val="34"/>
        </w:rPr>
        <w:t> </w:t>
      </w:r>
      <w:r>
        <w:rPr>
          <w:color w:val="6E6158"/>
        </w:rPr>
        <w:t>use</w:t>
      </w:r>
      <w:r>
        <w:rPr>
          <w:color w:val="6E6158"/>
          <w:spacing w:val="34"/>
        </w:rPr>
        <w:t> </w:t>
      </w:r>
      <w:r>
        <w:rPr>
          <w:color w:val="6E6158"/>
        </w:rPr>
        <w:t>project</w:t>
      </w:r>
      <w:r>
        <w:rPr>
          <w:color w:val="6E6158"/>
          <w:spacing w:val="34"/>
        </w:rPr>
        <w:t> </w:t>
      </w:r>
      <w:r>
        <w:rPr>
          <w:color w:val="6E6158"/>
        </w:rPr>
        <w:t>that</w:t>
      </w:r>
      <w:r>
        <w:rPr>
          <w:color w:val="6E6158"/>
          <w:spacing w:val="34"/>
        </w:rPr>
        <w:t> </w:t>
      </w:r>
      <w:r>
        <w:rPr>
          <w:color w:val="6E6158"/>
        </w:rPr>
        <w:t>includes</w:t>
      </w:r>
      <w:r>
        <w:rPr>
          <w:color w:val="6E6158"/>
          <w:spacing w:val="34"/>
        </w:rPr>
        <w:t> </w:t>
      </w:r>
      <w:r>
        <w:rPr>
          <w:color w:val="6E6158"/>
        </w:rPr>
        <w:t>retail</w:t>
      </w:r>
      <w:r>
        <w:rPr>
          <w:color w:val="6E6158"/>
          <w:spacing w:val="34"/>
        </w:rPr>
        <w:t> </w:t>
      </w:r>
      <w:r>
        <w:rPr>
          <w:color w:val="6E6158"/>
        </w:rPr>
        <w:t>shops,</w:t>
      </w:r>
      <w:r>
        <w:rPr>
          <w:color w:val="6E6158"/>
          <w:spacing w:val="34"/>
        </w:rPr>
        <w:t> </w:t>
      </w:r>
      <w:r>
        <w:rPr>
          <w:color w:val="6E6158"/>
        </w:rPr>
        <w:t>offices,</w:t>
      </w:r>
      <w:r>
        <w:rPr>
          <w:color w:val="6E6158"/>
          <w:spacing w:val="34"/>
        </w:rPr>
        <w:t> </w:t>
      </w:r>
      <w:r>
        <w:rPr>
          <w:color w:val="6E6158"/>
        </w:rPr>
        <w:t>restaurants,</w:t>
      </w:r>
      <w:r>
        <w:rPr>
          <w:color w:val="6E6158"/>
          <w:spacing w:val="34"/>
        </w:rPr>
        <w:t> </w:t>
      </w:r>
      <w:r>
        <w:rPr>
          <w:color w:val="6E6158"/>
        </w:rPr>
        <w:t>condominiums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</w:p>
    <w:p>
      <w:pPr>
        <w:pStyle w:val="BodyText"/>
        <w:spacing w:before="9"/>
      </w:pPr>
      <w:r>
        <w:rPr>
          <w:color w:val="6E6158"/>
          <w:spacing w:val="-2"/>
        </w:rPr>
        <w:t>apartments.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2" w:lineRule="auto" w:before="88"/>
        <w:ind w:right="6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2224" id="docshape13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investment company in the acquisition of approximately 3,500 single family</w:t>
      </w:r>
      <w:r>
        <w:rPr>
          <w:color w:val="6E6158"/>
          <w:spacing w:val="40"/>
        </w:rPr>
        <w:t> </w:t>
      </w:r>
      <w:r>
        <w:rPr>
          <w:color w:val="6E6158"/>
        </w:rPr>
        <w:t>residential</w:t>
      </w:r>
      <w:r>
        <w:rPr>
          <w:color w:val="6E6158"/>
          <w:spacing w:val="14"/>
        </w:rPr>
        <w:t> </w:t>
      </w:r>
      <w:r>
        <w:rPr>
          <w:color w:val="6E6158"/>
        </w:rPr>
        <w:t>lots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Maricopa,</w:t>
      </w:r>
      <w:r>
        <w:rPr>
          <w:color w:val="6E6158"/>
          <w:spacing w:val="14"/>
        </w:rPr>
        <w:t> </w:t>
      </w:r>
      <w:r>
        <w:rPr>
          <w:color w:val="6E6158"/>
        </w:rPr>
        <w:t>Pinal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Pima</w:t>
      </w:r>
      <w:r>
        <w:rPr>
          <w:color w:val="6E6158"/>
          <w:spacing w:val="14"/>
        </w:rPr>
        <w:t> </w:t>
      </w:r>
      <w:r>
        <w:rPr>
          <w:color w:val="6E6158"/>
        </w:rPr>
        <w:t>Counties</w:t>
      </w:r>
      <w:r>
        <w:rPr>
          <w:color w:val="6E6158"/>
          <w:spacing w:val="14"/>
        </w:rPr>
        <w:t> </w:t>
      </w:r>
      <w:r>
        <w:rPr>
          <w:color w:val="6E6158"/>
        </w:rPr>
        <w:t>for</w:t>
      </w:r>
      <w:r>
        <w:rPr>
          <w:color w:val="6E6158"/>
          <w:spacing w:val="14"/>
        </w:rPr>
        <w:t> </w:t>
      </w:r>
      <w:r>
        <w:rPr>
          <w:color w:val="6E6158"/>
        </w:rPr>
        <w:t>a</w:t>
      </w:r>
      <w:r>
        <w:rPr>
          <w:color w:val="6E6158"/>
          <w:spacing w:val="14"/>
        </w:rPr>
        <w:t> </w:t>
      </w:r>
      <w:r>
        <w:rPr>
          <w:color w:val="6E6158"/>
        </w:rPr>
        <w:t>purchase</w:t>
      </w:r>
      <w:r>
        <w:rPr>
          <w:color w:val="6E6158"/>
          <w:spacing w:val="14"/>
        </w:rPr>
        <w:t> </w:t>
      </w:r>
      <w:r>
        <w:rPr>
          <w:color w:val="6E6158"/>
        </w:rPr>
        <w:t>price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approximately</w:t>
      </w:r>
    </w:p>
    <w:p>
      <w:pPr>
        <w:pStyle w:val="BodyText"/>
        <w:spacing w:before="10"/>
      </w:pPr>
      <w:r>
        <w:rPr>
          <w:color w:val="6E6158"/>
          <w:spacing w:val="-2"/>
        </w:rPr>
        <w:t>$24,000,000.</w:t>
      </w:r>
    </w:p>
    <w:p>
      <w:pPr>
        <w:pStyle w:val="BodyText"/>
        <w:spacing w:line="292" w:lineRule="auto" w:before="174"/>
        <w:ind w:right="6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169759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6902pt;width:1.65pt;height:1.65pt;mso-position-horizontal-relative:page;mso-position-vertical-relative:paragraph;z-index:15732736" id="docshape14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lending company in the sale of properties acquired through the foreclosure of</w:t>
      </w:r>
      <w:r>
        <w:rPr>
          <w:color w:val="6E6158"/>
          <w:spacing w:val="40"/>
        </w:rPr>
        <w:t> </w:t>
      </w:r>
      <w:r>
        <w:rPr>
          <w:color w:val="6E6158"/>
        </w:rPr>
        <w:t>loans with balances totaling approximately $900,000,000, including hotel, condominium, </w:t>
      </w:r>
      <w:r>
        <w:rPr>
          <w:color w:val="6E6158"/>
        </w:rPr>
        <w:t>retail,</w:t>
      </w:r>
      <w:r>
        <w:rPr>
          <w:color w:val="6E6158"/>
          <w:spacing w:val="40"/>
        </w:rPr>
        <w:t> </w:t>
      </w:r>
      <w:r>
        <w:rPr>
          <w:color w:val="6E6158"/>
        </w:rPr>
        <w:t>commercial and residential properties.</w:t>
      </w:r>
    </w:p>
    <w:p>
      <w:pPr>
        <w:pStyle w:val="BodyText"/>
        <w:spacing w:line="292" w:lineRule="auto" w:before="132"/>
        <w:ind w:right="6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143105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8174pt;width:1.65pt;height:1.65pt;mso-position-horizontal-relative:page;mso-position-vertical-relative:paragraph;z-index:15733248" id="docshape15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investment company in the acquisition of properties in Maricopa and </w:t>
      </w:r>
      <w:r>
        <w:rPr>
          <w:color w:val="6E6158"/>
        </w:rPr>
        <w:t>Pinal Counties</w:t>
      </w:r>
      <w:r>
        <w:rPr>
          <w:color w:val="6E6158"/>
          <w:spacing w:val="33"/>
        </w:rPr>
        <w:t> </w:t>
      </w:r>
      <w:r>
        <w:rPr>
          <w:color w:val="6E6158"/>
        </w:rPr>
        <w:t>planned</w:t>
      </w:r>
      <w:r>
        <w:rPr>
          <w:color w:val="6E6158"/>
          <w:spacing w:val="33"/>
        </w:rPr>
        <w:t> </w:t>
      </w:r>
      <w:r>
        <w:rPr>
          <w:color w:val="6E6158"/>
        </w:rPr>
        <w:t>for</w:t>
      </w:r>
      <w:r>
        <w:rPr>
          <w:color w:val="6E6158"/>
          <w:spacing w:val="33"/>
        </w:rPr>
        <w:t> </w:t>
      </w:r>
      <w:r>
        <w:rPr>
          <w:color w:val="6E6158"/>
        </w:rPr>
        <w:t>5,648</w:t>
      </w:r>
      <w:r>
        <w:rPr>
          <w:color w:val="6E6158"/>
          <w:spacing w:val="33"/>
        </w:rPr>
        <w:t> </w:t>
      </w:r>
      <w:r>
        <w:rPr>
          <w:color w:val="6E6158"/>
        </w:rPr>
        <w:t>homes</w:t>
      </w:r>
      <w:r>
        <w:rPr>
          <w:color w:val="6E6158"/>
          <w:spacing w:val="33"/>
        </w:rPr>
        <w:t> </w:t>
      </w:r>
      <w:r>
        <w:rPr>
          <w:color w:val="6E6158"/>
        </w:rPr>
        <w:t>for</w:t>
      </w:r>
      <w:r>
        <w:rPr>
          <w:color w:val="6E6158"/>
          <w:spacing w:val="33"/>
        </w:rPr>
        <w:t> </w:t>
      </w:r>
      <w:r>
        <w:rPr>
          <w:color w:val="6E6158"/>
        </w:rPr>
        <w:t>a</w:t>
      </w:r>
      <w:r>
        <w:rPr>
          <w:color w:val="6E6158"/>
          <w:spacing w:val="33"/>
        </w:rPr>
        <w:t> </w:t>
      </w:r>
      <w:r>
        <w:rPr>
          <w:color w:val="6E6158"/>
        </w:rPr>
        <w:t>purchase</w:t>
      </w:r>
      <w:r>
        <w:rPr>
          <w:color w:val="6E6158"/>
          <w:spacing w:val="33"/>
        </w:rPr>
        <w:t> </w:t>
      </w:r>
      <w:r>
        <w:rPr>
          <w:color w:val="6E6158"/>
        </w:rPr>
        <w:t>price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approximately</w:t>
      </w:r>
      <w:r>
        <w:rPr>
          <w:color w:val="6E6158"/>
          <w:spacing w:val="33"/>
        </w:rPr>
        <w:t> </w:t>
      </w:r>
      <w:r>
        <w:rPr>
          <w:color w:val="6E6158"/>
        </w:rPr>
        <w:t>$28,000,000.</w:t>
      </w:r>
    </w:p>
    <w:p>
      <w:pPr>
        <w:pStyle w:val="BodyText"/>
        <w:spacing w:line="297" w:lineRule="auto" w:before="123"/>
        <w:ind w:right="7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137568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2148pt;width:1.65pt;height:1.65pt;mso-position-horizontal-relative:page;mso-position-vertical-relative:paragraph;z-index:15733760" id="docshape16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investment company in the acquisition of approximately 4,500 acres of real</w:t>
      </w:r>
      <w:r>
        <w:rPr>
          <w:color w:val="6E6158"/>
          <w:spacing w:val="40"/>
        </w:rPr>
        <w:t> </w:t>
      </w:r>
      <w:r>
        <w:rPr>
          <w:color w:val="6E6158"/>
        </w:rPr>
        <w:t>property located in Pinal County, zoned and entitled for approximately 15,000 single </w:t>
      </w:r>
      <w:r>
        <w:rPr>
          <w:color w:val="6E6158"/>
        </w:rPr>
        <w:t>family</w:t>
      </w:r>
      <w:r>
        <w:rPr>
          <w:color w:val="6E6158"/>
          <w:spacing w:val="40"/>
        </w:rPr>
        <w:t> </w:t>
      </w:r>
      <w:r>
        <w:rPr>
          <w:color w:val="6E6158"/>
        </w:rPr>
        <w:t>lots for a purchase price of approximately $28,000,000.</w:t>
      </w:r>
    </w:p>
    <w:p>
      <w:pPr>
        <w:pStyle w:val="BodyText"/>
        <w:spacing w:line="292" w:lineRule="auto" w:before="118"/>
        <w:ind w:right="6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134423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84558pt;width:1.65pt;height:1.65pt;mso-position-horizontal-relative:page;mso-position-vertical-relative:paragraph;z-index:15734272" id="docshape17" coordorigin="1675,212" coordsize="33,33" path="m1696,244l1687,244,1683,243,1676,236,1675,232,1675,223,1676,220,1683,213,1687,212,1696,212,1699,213,1706,220,1707,223,1707,228,1707,232,1706,236,1699,243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developer in the acquisition, development, financing, operation and sale of </w:t>
      </w:r>
      <w:r>
        <w:rPr>
          <w:color w:val="6E6158"/>
        </w:rPr>
        <w:t>two</w:t>
      </w:r>
      <w:r>
        <w:rPr>
          <w:color w:val="6E6158"/>
          <w:spacing w:val="40"/>
        </w:rPr>
        <w:t> </w:t>
      </w:r>
      <w:r>
        <w:rPr>
          <w:color w:val="6E6158"/>
        </w:rPr>
        <w:t>golf course recreational communities located in Payson, Arizona.</w:t>
      </w:r>
    </w:p>
    <w:p>
      <w:pPr>
        <w:pStyle w:val="BodyText"/>
        <w:spacing w:line="297" w:lineRule="auto" w:before="123"/>
        <w:ind w:right="6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137776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8532pt;width:1.65pt;height:1.65pt;mso-position-horizontal-relative:page;mso-position-vertical-relative:paragraph;z-index:15734784" id="docshape18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developer in the acquisition, financing and development of a resort project in</w:t>
      </w:r>
      <w:r>
        <w:rPr>
          <w:color w:val="6E6158"/>
          <w:spacing w:val="40"/>
        </w:rPr>
        <w:t> </w:t>
      </w:r>
      <w:r>
        <w:rPr>
          <w:color w:val="6E6158"/>
        </w:rPr>
        <w:t>Sedona, Arizona, which includes a championship golf course, clubhouse, residential lots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condominiums.</w:t>
      </w:r>
    </w:p>
    <w:p>
      <w:pPr>
        <w:pStyle w:val="BodyText"/>
        <w:spacing w:line="302" w:lineRule="auto" w:before="118"/>
        <w:ind w:right="6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134631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600942pt;width:1.65pt;height:1.65pt;mso-position-horizontal-relative:page;mso-position-vertical-relative:paragraph;z-index:15735296" id="docshape19" coordorigin="1675,212" coordsize="33,33" path="m1696,245l1687,245,1683,243,1676,237,1675,233,1675,224,1676,220,1683,214,1687,212,1696,212,1699,214,1706,220,1707,224,1707,228,1707,233,1706,237,1699,243,1696,2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investment group in the acquisition, assemblage and financing of </w:t>
      </w:r>
      <w:r>
        <w:rPr>
          <w:color w:val="6E6158"/>
        </w:rPr>
        <w:t>an approximately 1,100-acre residential community in Surprise, Arizona.</w:t>
      </w:r>
    </w:p>
    <w:p>
      <w:pPr>
        <w:pStyle w:val="BodyText"/>
        <w:spacing w:line="292" w:lineRule="auto" w:before="113"/>
        <w:ind w:right="6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131317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9973pt;width:1.65pt;height:1.65pt;mso-position-horizontal-relative:page;mso-position-vertical-relative:paragraph;z-index:15735808" id="docshape20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developer in the acquisition, financing and development of a master </w:t>
      </w:r>
      <w:r>
        <w:rPr>
          <w:color w:val="6E6158"/>
        </w:rPr>
        <w:t>planned</w:t>
      </w:r>
      <w:r>
        <w:rPr>
          <w:color w:val="6E6158"/>
          <w:spacing w:val="40"/>
        </w:rPr>
        <w:t> </w:t>
      </w:r>
      <w:r>
        <w:rPr>
          <w:color w:val="6E6158"/>
        </w:rPr>
        <w:t>project in Avondale, Arizona consisting of office, hotel, retail and restaurant properties.</w:t>
      </w:r>
    </w:p>
    <w:p>
      <w:pPr>
        <w:pStyle w:val="BodyText"/>
        <w:spacing w:line="302" w:lineRule="auto" w:before="123"/>
        <w:ind w:right="6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137845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3947pt;width:1.65pt;height:1.65pt;mso-position-horizontal-relative:page;mso-position-vertical-relative:paragraph;z-index:15736320" id="docshape21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investment company in the acquisition and sale of several office </w:t>
      </w:r>
      <w:r>
        <w:rPr>
          <w:color w:val="6E6158"/>
        </w:rPr>
        <w:t>buildings located in Phoenix and Mesa, Arizona.</w:t>
      </w:r>
    </w:p>
    <w:p>
      <w:pPr>
        <w:pStyle w:val="Heading1"/>
        <w:spacing w:before="152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152853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5712pt;width:1.65pt;height:1.65pt;mso-position-horizontal-relative:page;mso-position-vertical-relative:paragraph;z-index:15736832" id="docshape22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Real Estate Law, 2007-2016, 2018-</w:t>
      </w:r>
      <w:r>
        <w:rPr>
          <w:color w:val="6E6158"/>
          <w:spacing w:val="-4"/>
          <w:sz w:val="19"/>
        </w:rPr>
        <w:t>2025</w:t>
      </w:r>
    </w:p>
    <w:p>
      <w:pPr>
        <w:spacing w:line="403" w:lineRule="auto" w:before="164"/>
        <w:ind w:left="356" w:right="3843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168375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7937pt;width:1.65pt;height:1.65pt;mso-position-horizontal-relative:page;mso-position-vertical-relative:paragraph;z-index:15737344" id="docshape23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447410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229187pt;width:1.65pt;height:1.65pt;mso-position-horizontal-relative:page;mso-position-vertical-relative:paragraph;z-index:15737856" id="docshape24" coordorigin="1675,705" coordsize="33,33" path="m1696,737l1687,737,1683,736,1676,729,1675,725,1675,716,1676,713,1683,706,1687,705,1696,705,1699,706,1706,713,1707,716,1707,721,1707,725,1706,729,1699,736,1696,7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710943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5.979813pt;width:1.65pt;height:1.65pt;mso-position-horizontal-relative:page;mso-position-vertical-relative:paragraph;z-index:15738368" id="docshape25" coordorigin="1675,1120" coordsize="33,33" path="m1696,1152l1687,1152,1683,1151,1676,1144,1675,1140,1675,1131,1676,1128,1683,1121,1687,1120,1696,1120,1699,1121,1706,1128,1707,1131,1707,1136,1707,1140,1706,1144,1699,1151,1696,11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 Super 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Real Estate, 2012-2019 </w:t>
      </w:r>
      <w:r>
        <w:rPr>
          <w:i/>
          <w:color w:val="6E6158"/>
          <w:sz w:val="20"/>
        </w:rPr>
        <w:t>Arizona’s Top Lawyers, AZ Business Magazine, </w:t>
      </w:r>
      <w:r>
        <w:rPr>
          <w:color w:val="6E6158"/>
          <w:sz w:val="19"/>
        </w:rPr>
        <w:t>2014 Recommended in </w:t>
      </w:r>
      <w:r>
        <w:rPr>
          <w:i/>
          <w:color w:val="6E6158"/>
          <w:sz w:val="20"/>
        </w:rPr>
        <w:t>The Legal 500 US, </w:t>
      </w:r>
      <w:r>
        <w:rPr>
          <w:color w:val="6E6158"/>
          <w:sz w:val="19"/>
        </w:rPr>
        <w:t>Real Estate, </w:t>
      </w:r>
      <w:r>
        <w:rPr>
          <w:color w:val="6E6158"/>
          <w:sz w:val="19"/>
        </w:rPr>
        <w:t>2011</w:t>
      </w:r>
    </w:p>
    <w:p>
      <w:pPr>
        <w:pStyle w:val="BodyText"/>
        <w:spacing w:line="268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61482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841138pt;width:1.65pt;height:1.65pt;mso-position-horizontal-relative:page;mso-position-vertical-relative:paragraph;z-index:15738880" id="docshape26" coordorigin="1675,97" coordsize="33,33" path="m1696,129l1687,129,1683,128,1676,121,1675,118,1675,109,1676,105,1683,98,1687,97,1696,97,1699,98,1706,105,1707,109,1707,113,1707,118,1706,121,1699,128,1696,12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152695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3249pt;width:1.65pt;height:1.65pt;mso-position-horizontal-relative:page;mso-position-vertical-relative:paragraph;z-index:15739392" id="docshape2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8"/>
        </w:rPr>
        <w:t> </w:t>
      </w:r>
      <w:r>
        <w:rPr>
          <w:color w:val="6E6158"/>
        </w:rPr>
        <w:t>Real</w:t>
      </w:r>
      <w:r>
        <w:rPr>
          <w:color w:val="6E6158"/>
          <w:spacing w:val="7"/>
        </w:rPr>
        <w:t> </w:t>
      </w:r>
      <w:r>
        <w:rPr>
          <w:color w:val="6E6158"/>
        </w:rPr>
        <w:t>Estate</w:t>
      </w:r>
      <w:r>
        <w:rPr>
          <w:color w:val="6E6158"/>
          <w:spacing w:val="8"/>
        </w:rPr>
        <w:t> </w:t>
      </w:r>
      <w:r>
        <w:rPr>
          <w:color w:val="6E6158"/>
        </w:rPr>
        <w:t>Section,</w:t>
      </w:r>
      <w:r>
        <w:rPr>
          <w:color w:val="6E6158"/>
          <w:spacing w:val="8"/>
        </w:rPr>
        <w:t> </w:t>
      </w:r>
      <w:r>
        <w:rPr>
          <w:color w:val="6E6158"/>
        </w:rPr>
        <w:t>State</w:t>
      </w:r>
      <w:r>
        <w:rPr>
          <w:color w:val="6E6158"/>
          <w:spacing w:val="8"/>
        </w:rPr>
        <w:t> </w:t>
      </w:r>
      <w:r>
        <w:rPr>
          <w:color w:val="6E6158"/>
        </w:rPr>
        <w:t>Bar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174957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6167pt;width:1.65pt;height:1.65pt;mso-position-horizontal-relative:page;mso-position-vertical-relative:paragraph;z-index:15739904" id="docshape28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Business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Securities</w:t>
      </w:r>
      <w:r>
        <w:rPr>
          <w:color w:val="6E6158"/>
          <w:spacing w:val="10"/>
        </w:rPr>
        <w:t> </w:t>
      </w:r>
      <w:r>
        <w:rPr>
          <w:color w:val="6E6158"/>
        </w:rPr>
        <w:t>Section,</w:t>
      </w:r>
      <w:r>
        <w:rPr>
          <w:color w:val="6E6158"/>
          <w:spacing w:val="9"/>
        </w:rPr>
        <w:t> </w:t>
      </w:r>
      <w:r>
        <w:rPr>
          <w:color w:val="6E6158"/>
        </w:rPr>
        <w:t>State</w:t>
      </w:r>
      <w:r>
        <w:rPr>
          <w:color w:val="6E6158"/>
          <w:spacing w:val="10"/>
        </w:rPr>
        <w:t> </w:t>
      </w:r>
      <w:r>
        <w:rPr>
          <w:color w:val="6E6158"/>
        </w:rPr>
        <w:t>Bar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152465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5179pt;width:1.65pt;height:1.65pt;mso-position-horizontal-relative:page;mso-position-vertical-relative:paragraph;z-index:15740416" id="docshape29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mnesvig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2025-01-02T07:04:00Z</dcterms:created>
  <dcterms:modified xsi:type="dcterms:W3CDTF">2025-01-02T07:04:00Z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