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603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603875"/>
                          <a:chExt cx="6066790" cy="5603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901320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8909" y="763308"/>
                            <a:ext cx="14344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 P.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23775" y="3239299"/>
                            <a:ext cx="1664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mrobertson@fennemorelaw.com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46947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26384" y="4494956"/>
                            <a:ext cx="34302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underestimate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power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hard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work,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competitive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spirit,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preparation.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923" y="4960014"/>
                            <a:ext cx="59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--Joe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Burrow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46947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41.25pt;mso-position-horizontal-relative:page;mso-position-vertical-relative:page;z-index:-15818752" id="docshapegroup1" coordorigin="1341,560" coordsize="9554,8825">
                <v:rect style="position:absolute;left:1341;top:6703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721" type="#_x0000_t75" id="docshape4" stroked="false">
                  <v:imagedata r:id="rId7" o:title=""/>
                </v:shape>
                <v:rect style="position:absolute;left:6117;top:983;width:4777;height:5721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6;top:1762;width:225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 P.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120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05;top:5661;width:262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mrobertson@fennemorelaw.com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5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0;top:7638;width:540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underestimate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power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and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hard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work,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competitive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spirit,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preparation.</w:t>
                        </w:r>
                      </w:p>
                    </w:txbxContent>
                  </v:textbox>
                  <w10:wrap type="none"/>
                </v:shape>
                <v:shape style="position:absolute;left:5662;top:8371;width:937;height:20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--Joe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Burrow</w:t>
                        </w:r>
                      </w:p>
                    </w:txbxContent>
                  </v:textbox>
                  <w10:wrap type="none"/>
                </v:shape>
                <v:shape style="position:absolute;left:8986;top:75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19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P.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ROBERTSON</w:t>
      </w:r>
    </w:p>
    <w:p>
      <w:pPr>
        <w:pStyle w:val="BodyText"/>
        <w:spacing w:line="295" w:lineRule="auto" w:before="147"/>
        <w:ind w:left="104" w:right="216"/>
      </w:pPr>
      <w:r>
        <w:rPr>
          <w:color w:val="6E6158"/>
        </w:rPr>
        <w:t>Michael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seasoned</w:t>
      </w:r>
      <w:r>
        <w:rPr>
          <w:color w:val="6E6158"/>
          <w:spacing w:val="27"/>
        </w:rPr>
        <w:t> </w:t>
      </w:r>
      <w:r>
        <w:rPr>
          <w:color w:val="6E6158"/>
        </w:rPr>
        <w:t>trial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over</w:t>
      </w:r>
      <w:r>
        <w:rPr>
          <w:color w:val="6E6158"/>
          <w:spacing w:val="27"/>
        </w:rPr>
        <w:t> </w:t>
      </w:r>
      <w:r>
        <w:rPr>
          <w:color w:val="6E6158"/>
        </w:rPr>
        <w:t>15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representing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diverse array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high-stakes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matters.</w:t>
      </w:r>
      <w:r>
        <w:rPr>
          <w:color w:val="6E6158"/>
          <w:spacing w:val="80"/>
        </w:rPr>
        <w:t> </w:t>
      </w:r>
      <w:r>
        <w:rPr>
          <w:color w:val="6E6158"/>
        </w:rPr>
        <w:t>Michael’s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practice</w:t>
      </w:r>
      <w:r>
        <w:rPr>
          <w:color w:val="6E6158"/>
          <w:spacing w:val="33"/>
        </w:rPr>
        <w:t> </w:t>
      </w:r>
      <w:r>
        <w:rPr>
          <w:color w:val="6E6158"/>
        </w:rPr>
        <w:t>includes representing both plaintiffs and defendants in complex commercial disputes, fiduciary matters,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litigation.</w:t>
      </w:r>
      <w:r>
        <w:rPr>
          <w:color w:val="6E6158"/>
          <w:spacing w:val="80"/>
        </w:rPr>
        <w:t> </w:t>
      </w:r>
      <w:r>
        <w:rPr>
          <w:color w:val="6E6158"/>
        </w:rPr>
        <w:t>Michael has successfully litigated matters in state and federal courts across the country for clients spanning from family businesses to Fortune 500 companies and the</w:t>
      </w:r>
      <w:r>
        <w:rPr>
          <w:color w:val="6E6158"/>
          <w:spacing w:val="40"/>
        </w:rPr>
        <w:t> </w:t>
      </w:r>
      <w:r>
        <w:rPr>
          <w:color w:val="6E6158"/>
        </w:rPr>
        <w:t>Denver Broncos Football Club.</w:t>
      </w:r>
    </w:p>
    <w:p>
      <w:pPr>
        <w:pStyle w:val="BodyText"/>
        <w:spacing w:line="297" w:lineRule="auto" w:before="193"/>
        <w:ind w:left="104" w:right="216"/>
      </w:pPr>
      <w:r>
        <w:rPr>
          <w:color w:val="6E6158"/>
        </w:rPr>
        <w:t>In addition to his litigation practice, Michael also serves as outside general counsel to multiple</w:t>
      </w:r>
      <w:r>
        <w:rPr>
          <w:color w:val="6E6158"/>
          <w:spacing w:val="40"/>
        </w:rPr>
        <w:t> </w:t>
      </w:r>
      <w:r>
        <w:rPr>
          <w:color w:val="6E6158"/>
        </w:rPr>
        <w:t>privately-held businesses.</w:t>
      </w:r>
      <w:r>
        <w:rPr>
          <w:color w:val="6E6158"/>
          <w:spacing w:val="80"/>
        </w:rPr>
        <w:t> </w:t>
      </w:r>
      <w:r>
        <w:rPr>
          <w:color w:val="6E6158"/>
        </w:rPr>
        <w:t>Through his corporate practice, Michael advises clients on all types </w:t>
      </w:r>
      <w:r>
        <w:rPr>
          <w:color w:val="6E6158"/>
        </w:rPr>
        <w:t>of corporate governance, risk avoidance, and insurance coverage issues.</w:t>
      </w:r>
    </w:p>
    <w:p>
      <w:pPr>
        <w:pStyle w:val="BodyText"/>
        <w:spacing w:line="290" w:lineRule="auto" w:before="181"/>
        <w:ind w:left="104" w:right="461"/>
      </w:pPr>
      <w:r>
        <w:rPr>
          <w:color w:val="6E6158"/>
        </w:rPr>
        <w:t>Michael is consistently recognized as a top commercial litigator by publications including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z w:val="20"/>
        </w:rPr>
        <w:t> Lawyers in America and Colorado Super Lawyers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When not practicing law, Michael enjoys coaching youth sports for his three children.</w:t>
      </w:r>
      <w:r>
        <w:rPr>
          <w:color w:val="6E6158"/>
          <w:spacing w:val="80"/>
        </w:rPr>
        <w:t> </w:t>
      </w:r>
      <w:r>
        <w:rPr>
          <w:color w:val="6E6158"/>
        </w:rPr>
        <w:t>Michael is also a WSET-certified sommelier, and enjoys</w:t>
      </w:r>
      <w:r>
        <w:rPr>
          <w:color w:val="6E6158"/>
          <w:spacing w:val="30"/>
        </w:rPr>
        <w:t> </w:t>
      </w:r>
      <w:r>
        <w:rPr>
          <w:color w:val="6E6158"/>
        </w:rPr>
        <w:t>lecturing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wine-related</w:t>
      </w:r>
      <w:r>
        <w:rPr>
          <w:color w:val="6E6158"/>
          <w:spacing w:val="30"/>
        </w:rPr>
        <w:t> </w:t>
      </w:r>
      <w:r>
        <w:rPr>
          <w:color w:val="6E6158"/>
        </w:rPr>
        <w:t>topics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curating</w:t>
      </w:r>
      <w:r>
        <w:rPr>
          <w:color w:val="6E6158"/>
          <w:spacing w:val="30"/>
        </w:rPr>
        <w:t> </w:t>
      </w:r>
      <w:r>
        <w:rPr>
          <w:color w:val="6E6158"/>
        </w:rPr>
        <w:t>wine</w:t>
      </w:r>
      <w:r>
        <w:rPr>
          <w:color w:val="6E6158"/>
          <w:spacing w:val="30"/>
        </w:rPr>
        <w:t> </w:t>
      </w:r>
      <w:r>
        <w:rPr>
          <w:color w:val="6E6158"/>
        </w:rPr>
        <w:t>lists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food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beverage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establishments.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844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Miami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Louisiana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0176" id="docshape16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0688" id="docshape17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and Estates </w:t>
      </w:r>
      <w:r>
        <w:rPr>
          <w:color w:val="6E6158"/>
        </w:rPr>
        <w:t>Litigation Real Estate Litigation</w:t>
      </w:r>
    </w:p>
    <w:p>
      <w:pPr>
        <w:pStyle w:val="BodyText"/>
        <w:spacing w:line="427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58539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414pt;width:1.65pt;height:1.65pt;mso-position-horizontal-relative:page;mso-position-vertical-relative:paragraph;z-index:15731200" id="docshape1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39pt;width:1.65pt;height:1.65pt;mso-position-horizontal-relative:page;mso-position-vertical-relative:paragraph;z-index:15731712" id="docshape19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Accountant </w:t>
      </w:r>
      <w:r>
        <w:rPr>
          <w:color w:val="6E6158"/>
        </w:rPr>
        <w:t>Malpractice Business Litigation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53822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7957pt;width:1.65pt;height:1.65pt;mso-position-horizontal-relative:page;mso-position-vertical-relative:paragraph;z-index:15732224" id="docshape20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78pt;width:1.65pt;height:1.65pt;mso-position-horizontal-relative:page;mso-position-vertical-relative:paragraph;z-index:15732736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trustees of the Patrick D. Bowlen Trust in litigation concerning Pat Bowlen’s</w:t>
      </w:r>
      <w:r>
        <w:rPr>
          <w:color w:val="6E6158"/>
          <w:spacing w:val="40"/>
        </w:rPr>
        <w:t> </w:t>
      </w:r>
      <w:r>
        <w:rPr>
          <w:color w:val="6E6158"/>
        </w:rPr>
        <w:t>estate plan and plan for succession of the ownership and control of the Denver Broncos</w:t>
      </w:r>
      <w:r>
        <w:rPr>
          <w:color w:val="6E6158"/>
          <w:spacing w:val="40"/>
        </w:rPr>
        <w:t> </w:t>
      </w:r>
      <w:r>
        <w:rPr>
          <w:color w:val="6E6158"/>
        </w:rPr>
        <w:t>Football Club.</w:t>
      </w:r>
    </w:p>
    <w:p>
      <w:pPr>
        <w:pStyle w:val="BodyText"/>
        <w:spacing w:line="295" w:lineRule="auto" w:before="118"/>
        <w:ind w:left="356" w:right="4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134503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788pt;width:1.65pt;height:1.65pt;mso-position-horizontal-relative:page;mso-position-vertical-relative:paragraph;z-index:15733248" id="docshape22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for investment firm specializing in real estate development and</w:t>
      </w:r>
      <w:r>
        <w:rPr>
          <w:color w:val="6E6158"/>
          <w:spacing w:val="40"/>
        </w:rPr>
        <w:t> </w:t>
      </w:r>
      <w:r>
        <w:rPr>
          <w:color w:val="6E6158"/>
        </w:rPr>
        <w:t>syndicated investments.</w:t>
      </w:r>
      <w:r>
        <w:rPr>
          <w:color w:val="6E6158"/>
          <w:spacing w:val="80"/>
        </w:rPr>
        <w:t> </w:t>
      </w:r>
      <w:r>
        <w:rPr>
          <w:color w:val="6E6158"/>
        </w:rPr>
        <w:t>In addition to providing advice on day-to-day corporate matters, Michael has also served as lead trial counsel in multiple proceedings involving business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real estate disputes.</w:t>
      </w:r>
    </w:p>
    <w:p>
      <w:pPr>
        <w:pStyle w:val="BodyText"/>
        <w:spacing w:line="295" w:lineRule="auto" w:before="123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137878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576pt;width:1.65pt;height:1.65pt;mso-position-horizontal-relative:page;mso-position-vertical-relative:paragraph;z-index:15733760" id="docshape2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Denver Broncos Football Club in numerous matters, including disputes with</w:t>
      </w:r>
      <w:r>
        <w:rPr>
          <w:color w:val="6E6158"/>
          <w:spacing w:val="40"/>
        </w:rPr>
        <w:t> </w:t>
      </w:r>
      <w:r>
        <w:rPr>
          <w:color w:val="6E6158"/>
        </w:rPr>
        <w:t>former</w:t>
      </w:r>
      <w:r>
        <w:rPr>
          <w:color w:val="6E6158"/>
          <w:spacing w:val="37"/>
        </w:rPr>
        <w:t> </w:t>
      </w:r>
      <w:r>
        <w:rPr>
          <w:color w:val="6E6158"/>
        </w:rPr>
        <w:t>ticket</w:t>
      </w:r>
      <w:r>
        <w:rPr>
          <w:color w:val="6E6158"/>
          <w:spacing w:val="37"/>
        </w:rPr>
        <w:t> </w:t>
      </w:r>
      <w:r>
        <w:rPr>
          <w:color w:val="6E6158"/>
        </w:rPr>
        <w:t>holders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national</w:t>
      </w:r>
      <w:r>
        <w:rPr>
          <w:color w:val="6E6158"/>
          <w:spacing w:val="37"/>
        </w:rPr>
        <w:t> </w:t>
      </w:r>
      <w:r>
        <w:rPr>
          <w:color w:val="6E6158"/>
        </w:rPr>
        <w:t>litigation</w:t>
      </w:r>
      <w:r>
        <w:rPr>
          <w:color w:val="6E6158"/>
          <w:spacing w:val="37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pain</w:t>
      </w:r>
      <w:r>
        <w:rPr>
          <w:color w:val="6E6158"/>
          <w:spacing w:val="37"/>
        </w:rPr>
        <w:t> </w:t>
      </w:r>
      <w:r>
        <w:rPr>
          <w:color w:val="6E6158"/>
        </w:rPr>
        <w:t>medication</w:t>
      </w:r>
      <w:r>
        <w:rPr>
          <w:color w:val="6E6158"/>
          <w:spacing w:val="37"/>
        </w:rPr>
        <w:t> </w:t>
      </w:r>
      <w:r>
        <w:rPr>
          <w:color w:val="6E6158"/>
        </w:rPr>
        <w:t>prescriptions.</w:t>
      </w:r>
      <w:r>
        <w:rPr>
          <w:color w:val="6E6158"/>
          <w:spacing w:val="37"/>
        </w:rPr>
        <w:t> </w:t>
      </w:r>
      <w:r>
        <w:rPr>
          <w:color w:val="6E6158"/>
        </w:rPr>
        <w:t>In addition to serving as litigation counsel to the Broncos, Michael also routinely advises the club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general</w:t>
      </w:r>
      <w:r>
        <w:rPr>
          <w:color w:val="6E6158"/>
          <w:spacing w:val="32"/>
        </w:rPr>
        <w:t> </w:t>
      </w:r>
      <w:r>
        <w:rPr>
          <w:color w:val="6E6158"/>
        </w:rPr>
        <w:t>organizational</w:t>
      </w:r>
      <w:r>
        <w:rPr>
          <w:color w:val="6E6158"/>
          <w:spacing w:val="32"/>
        </w:rPr>
        <w:t> </w:t>
      </w:r>
      <w:r>
        <w:rPr>
          <w:color w:val="6E6158"/>
        </w:rPr>
        <w:t>matters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drafts</w:t>
      </w:r>
      <w:r>
        <w:rPr>
          <w:color w:val="6E6158"/>
          <w:spacing w:val="32"/>
        </w:rPr>
        <w:t> </w:t>
      </w:r>
      <w:r>
        <w:rPr>
          <w:color w:val="6E6158"/>
        </w:rPr>
        <w:t>policies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club’s</w:t>
      </w:r>
      <w:r>
        <w:rPr>
          <w:color w:val="6E6158"/>
          <w:spacing w:val="32"/>
        </w:rPr>
        <w:t> </w:t>
      </w:r>
      <w:r>
        <w:rPr>
          <w:color w:val="6E6158"/>
        </w:rPr>
        <w:t>use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dissemination.</w:t>
      </w:r>
    </w:p>
    <w:p>
      <w:pPr>
        <w:pStyle w:val="BodyText"/>
        <w:spacing w:line="295" w:lineRule="auto" w:before="124"/>
        <w:ind w:left="356" w:righ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365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plaintiff guaranty associations and special deputy receiver in highly-complex</w:t>
      </w:r>
      <w:r>
        <w:rPr>
          <w:color w:val="6E6158"/>
          <w:spacing w:val="40"/>
        </w:rPr>
        <w:t> </w:t>
      </w:r>
      <w:r>
        <w:rPr>
          <w:color w:val="6E6158"/>
        </w:rPr>
        <w:t>litigation against multiple bank trustees, professional accounting firms, and other institutional</w:t>
      </w:r>
      <w:r>
        <w:rPr>
          <w:color w:val="6E6158"/>
          <w:spacing w:val="40"/>
        </w:rPr>
        <w:t> </w:t>
      </w:r>
      <w:r>
        <w:rPr>
          <w:color w:val="6E6158"/>
        </w:rPr>
        <w:t>defendants arising out of a nationwide fraudulent scheme perpetrated by a prearranged</w:t>
      </w:r>
      <w:r>
        <w:rPr>
          <w:color w:val="6E6158"/>
          <w:spacing w:val="40"/>
        </w:rPr>
        <w:t> </w:t>
      </w:r>
      <w:r>
        <w:rPr>
          <w:color w:val="6E6158"/>
        </w:rPr>
        <w:t>funeral service provider and its affiliated life insurance companies.</w:t>
      </w:r>
      <w:r>
        <w:rPr>
          <w:color w:val="6E6158"/>
          <w:spacing w:val="80"/>
        </w:rPr>
        <w:t> </w:t>
      </w:r>
      <w:r>
        <w:rPr>
          <w:color w:val="6E6158"/>
        </w:rPr>
        <w:t>Michael’s clients </w:t>
      </w:r>
      <w:r>
        <w:rPr>
          <w:color w:val="6E6158"/>
        </w:rPr>
        <w:t>received significant recoveries through settlement and a jury verdict of $391 million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Following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Eighth</w:t>
      </w:r>
      <w:r>
        <w:rPr>
          <w:color w:val="6E6158"/>
          <w:spacing w:val="20"/>
        </w:rPr>
        <w:t> </w:t>
      </w:r>
      <w:r>
        <w:rPr>
          <w:color w:val="6E6158"/>
        </w:rPr>
        <w:t>Circuit’s</w:t>
      </w:r>
      <w:r>
        <w:rPr>
          <w:color w:val="6E6158"/>
          <w:spacing w:val="20"/>
        </w:rPr>
        <w:t> </w:t>
      </w:r>
      <w:r>
        <w:rPr>
          <w:color w:val="6E6158"/>
        </w:rPr>
        <w:t>remand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case</w:t>
      </w:r>
      <w:r>
        <w:rPr>
          <w:color w:val="6E6158"/>
          <w:spacing w:val="20"/>
        </w:rPr>
        <w:t> </w:t>
      </w:r>
      <w:r>
        <w:rPr>
          <w:color w:val="6E6158"/>
        </w:rPr>
        <w:t>against</w:t>
      </w:r>
      <w:r>
        <w:rPr>
          <w:color w:val="6E6158"/>
          <w:spacing w:val="20"/>
        </w:rPr>
        <w:t> </w:t>
      </w:r>
      <w:r>
        <w:rPr>
          <w:color w:val="6E6158"/>
        </w:rPr>
        <w:t>PNC,</w:t>
      </w:r>
      <w:r>
        <w:rPr>
          <w:color w:val="6E6158"/>
          <w:spacing w:val="20"/>
        </w:rPr>
        <w:t> </w:t>
      </w:r>
      <w:r>
        <w:rPr>
          <w:color w:val="6E6158"/>
        </w:rPr>
        <w:t>Michael</w:t>
      </w:r>
      <w:r>
        <w:rPr>
          <w:color w:val="6E6158"/>
          <w:spacing w:val="20"/>
        </w:rPr>
        <w:t> </w:t>
      </w:r>
      <w:r>
        <w:rPr>
          <w:color w:val="6E6158"/>
        </w:rPr>
        <w:t>played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critical</w:t>
      </w:r>
      <w:r>
        <w:rPr>
          <w:color w:val="6E6158"/>
          <w:spacing w:val="20"/>
        </w:rPr>
        <w:t> </w:t>
      </w:r>
      <w:r>
        <w:rPr>
          <w:color w:val="6E6158"/>
        </w:rPr>
        <w:t>role in securing a combined $106 million judgment ($99 million in compensatory and punitive</w:t>
      </w:r>
      <w:r>
        <w:rPr>
          <w:color w:val="6E6158"/>
          <w:spacing w:val="40"/>
        </w:rPr>
        <w:t> </w:t>
      </w:r>
      <w:r>
        <w:rPr>
          <w:color w:val="6E6158"/>
        </w:rPr>
        <w:t>damages and $7 million in attorney fees and litigation costs) against PNC Bank for breach of</w:t>
      </w:r>
      <w:r>
        <w:rPr>
          <w:color w:val="6E6158"/>
          <w:spacing w:val="40"/>
        </w:rPr>
        <w:t> </w:t>
      </w:r>
      <w:r>
        <w:rPr>
          <w:color w:val="6E6158"/>
        </w:rPr>
        <w:t>trust. PNC’s appeal of judgment is currently pending.</w:t>
      </w:r>
    </w:p>
    <w:p>
      <w:pPr>
        <w:pStyle w:val="BodyText"/>
        <w:spacing w:line="292" w:lineRule="auto" w:before="131"/>
        <w:ind w:left="356" w:right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142514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2164pt;width:1.65pt;height:1.65pt;mso-position-horizontal-relative:page;mso-position-vertical-relative:paragraph;z-index:15734784" id="docshape25" coordorigin="1675,224" coordsize="33,33" path="m1696,257l1687,257,1683,255,1676,249,1675,245,1675,236,1676,232,1683,226,1687,224,1696,224,1699,226,1706,232,1707,236,1707,241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DCP</w:t>
      </w:r>
      <w:r>
        <w:rPr>
          <w:color w:val="6E6158"/>
          <w:spacing w:val="16"/>
        </w:rPr>
        <w:t> </w:t>
      </w:r>
      <w:r>
        <w:rPr>
          <w:color w:val="6E6158"/>
        </w:rPr>
        <w:t>Midstream,</w:t>
      </w:r>
      <w:r>
        <w:rPr>
          <w:color w:val="6E6158"/>
          <w:spacing w:val="16"/>
        </w:rPr>
        <w:t> </w:t>
      </w:r>
      <w:r>
        <w:rPr>
          <w:color w:val="6E6158"/>
        </w:rPr>
        <w:t>one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nation’s</w:t>
      </w:r>
      <w:r>
        <w:rPr>
          <w:color w:val="6E6158"/>
          <w:spacing w:val="16"/>
        </w:rPr>
        <w:t> </w:t>
      </w:r>
      <w:r>
        <w:rPr>
          <w:color w:val="6E6158"/>
        </w:rPr>
        <w:t>largest</w:t>
      </w:r>
      <w:r>
        <w:rPr>
          <w:color w:val="6E6158"/>
          <w:spacing w:val="16"/>
        </w:rPr>
        <w:t> </w:t>
      </w:r>
      <w:r>
        <w:rPr>
          <w:color w:val="6E6158"/>
        </w:rPr>
        <w:t>natural</w:t>
      </w:r>
      <w:r>
        <w:rPr>
          <w:color w:val="6E6158"/>
          <w:spacing w:val="16"/>
        </w:rPr>
        <w:t> </w:t>
      </w:r>
      <w:r>
        <w:rPr>
          <w:color w:val="6E6158"/>
        </w:rPr>
        <w:t>gas</w:t>
      </w:r>
      <w:r>
        <w:rPr>
          <w:color w:val="6E6158"/>
          <w:spacing w:val="16"/>
        </w:rPr>
        <w:t> </w:t>
      </w:r>
      <w:r>
        <w:rPr>
          <w:color w:val="6E6158"/>
        </w:rPr>
        <w:t>processing</w:t>
      </w:r>
      <w:r>
        <w:rPr>
          <w:color w:val="6E6158"/>
          <w:spacing w:val="16"/>
        </w:rPr>
        <w:t> </w:t>
      </w:r>
      <w:r>
        <w:rPr>
          <w:color w:val="6E6158"/>
        </w:rPr>
        <w:t>companies,</w:t>
      </w:r>
      <w:r>
        <w:rPr>
          <w:color w:val="6E6158"/>
          <w:spacing w:val="16"/>
        </w:rPr>
        <w:t> </w:t>
      </w:r>
      <w:r>
        <w:rPr>
          <w:color w:val="6E6158"/>
        </w:rPr>
        <w:t>in a</w:t>
      </w:r>
      <w:r>
        <w:rPr>
          <w:color w:val="6E6158"/>
          <w:spacing w:val="34"/>
        </w:rPr>
        <w:t> </w:t>
      </w:r>
      <w:r>
        <w:rPr>
          <w:color w:val="6E6158"/>
        </w:rPr>
        <w:t>multimillion-dollar</w:t>
      </w:r>
      <w:r>
        <w:rPr>
          <w:color w:val="6E6158"/>
          <w:spacing w:val="34"/>
        </w:rPr>
        <w:t> </w:t>
      </w:r>
      <w:r>
        <w:rPr>
          <w:color w:val="6E6158"/>
        </w:rPr>
        <w:t>breach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oil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gas</w:t>
      </w:r>
      <w:r>
        <w:rPr>
          <w:color w:val="6E6158"/>
          <w:spacing w:val="34"/>
        </w:rPr>
        <w:t> </w:t>
      </w:r>
      <w:r>
        <w:rPr>
          <w:color w:val="6E6158"/>
        </w:rPr>
        <w:t>accounting</w:t>
      </w:r>
    </w:p>
    <w:p>
      <w:pPr>
        <w:pStyle w:val="BodyText"/>
        <w:spacing w:line="292" w:lineRule="auto" w:before="1"/>
        <w:ind w:left="356"/>
      </w:pPr>
      <w:r>
        <w:rPr>
          <w:color w:val="6E6158"/>
        </w:rPr>
        <w:t>issues.</w:t>
      </w:r>
      <w:r>
        <w:rPr>
          <w:color w:val="6E6158"/>
          <w:spacing w:val="80"/>
        </w:rPr>
        <w:t> </w:t>
      </w:r>
      <w:r>
        <w:rPr>
          <w:color w:val="6E6158"/>
        </w:rPr>
        <w:t>Michael’s client obtained a favorable jury verdict following a six-day jury trial, which included a seven-figure award in favor of DCP on its counterclaim.</w:t>
      </w:r>
    </w:p>
    <w:p>
      <w:pPr>
        <w:pStyle w:val="BodyText"/>
        <w:spacing w:line="292" w:lineRule="auto" w:before="131"/>
        <w:ind w:left="356" w:right="4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142917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336pt;width:1.65pt;height:1.65pt;mso-position-horizontal-relative:page;mso-position-vertical-relative:paragraph;z-index:15735296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start-up tax consulting firm in a complex trade secret and non-compete</w:t>
      </w:r>
      <w:r>
        <w:rPr>
          <w:color w:val="6E6158"/>
          <w:spacing w:val="40"/>
        </w:rPr>
        <w:t> </w:t>
      </w:r>
      <w:r>
        <w:rPr>
          <w:color w:val="6E6158"/>
        </w:rPr>
        <w:t>dispute.</w:t>
      </w:r>
      <w:r>
        <w:rPr>
          <w:color w:val="6E6158"/>
          <w:spacing w:val="77"/>
        </w:rPr>
        <w:t> </w:t>
      </w:r>
      <w:r>
        <w:rPr>
          <w:color w:val="6E6158"/>
        </w:rPr>
        <w:t>Michael’s work as lead counsel on this matter resulted in his client obtaining a favorable pre-trial settlement.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143568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4609pt;width:1.65pt;height:1.65pt;mso-position-horizontal-relative:page;mso-position-vertical-relative:paragraph;z-index:15735808" id="docshape27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 in confidential representation of Fortune 500 company to conduct internal</w:t>
      </w:r>
      <w:r>
        <w:rPr>
          <w:color w:val="6E6158"/>
          <w:spacing w:val="40"/>
        </w:rPr>
        <w:t> </w:t>
      </w:r>
      <w:r>
        <w:rPr>
          <w:color w:val="6E6158"/>
        </w:rPr>
        <w:t>investigation into potential internal controls failure and misreporting to an outside </w:t>
      </w:r>
      <w:r>
        <w:rPr>
          <w:color w:val="6E6158"/>
        </w:rPr>
        <w:t>auditor.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41pt;width:1.65pt;height:1.65pt;mso-position-horizontal-relative:page;mso-position-vertical-relative:paragraph;z-index:15736320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6832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2016-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48pt;width:1.65pt;height:1.65pt;mso-position-horizontal-relative:page;mso-position-vertical-relative:paragraph;z-index:15737344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“The Opportunities Available at Fennemore are Seemingly Endless,” </w:t>
        </w:r>
        <w:r>
          <w:rPr>
            <w:color w:val="F5821F"/>
          </w:rPr>
          <w:t>Fennemore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Blog,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July 14, 2022</w:t>
        </w:r>
      </w:hyperlink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152437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38pt;width:1.65pt;height:1.65pt;mso-position-horizontal-relative:page;mso-position-vertical-relative:paragraph;z-index:15737856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28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170167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982pt;width:1.65pt;height:1.65pt;mso-position-horizontal-relative:page;mso-position-vertical-relative:paragraph;z-index:15738368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433699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605pt;width:1.65pt;height:1.65pt;mso-position-horizontal-relative:page;mso-position-vertical-relative:paragraph;z-index:15738880" id="docshape33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Young Alumni Committee, University of Miami School of </w:t>
      </w:r>
      <w:r>
        <w:rPr>
          <w:color w:val="6E6158"/>
        </w:rPr>
        <w:t>Law Denver Bar Association</w:t>
      </w:r>
    </w:p>
    <w:p>
      <w:pPr>
        <w:pStyle w:val="BodyText"/>
        <w:spacing w:line="420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54959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526pt;width:1.65pt;height:1.65pt;mso-position-horizontal-relative:page;mso-position-vertical-relative:paragraph;z-index:15739392" id="docshape34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313325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1274pt;width:1.65pt;height:1.65pt;mso-position-horizontal-relative:page;mso-position-vertical-relative:paragraph;z-index:15739904" id="docshape35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Boulder Bar Association Colorado Bar </w:t>
      </w:r>
      <w:r>
        <w:rPr>
          <w:color w:val="6E6158"/>
        </w:rPr>
        <w:t>Association</w:t>
      </w:r>
    </w:p>
    <w:p>
      <w:pPr>
        <w:pStyle w:val="Heading1"/>
        <w:spacing w:before="152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152957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915pt;width:1.65pt;height:1.65pt;mso-position-horizontal-relative:page;mso-position-vertical-relative:paragraph;z-index:15740416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34pt;width:1.65pt;height:1.65pt;mso-position-horizontal-relative:page;mso-position-vertical-relative:paragraph;z-index:15740928" id="docshape3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170089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878pt;width:1.65pt;height:1.65pt;mso-position-horizontal-relative:page;mso-position-vertical-relative:paragraph;z-index:15741440" id="docshape3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mrobertson@fennemorelaw.com" TargetMode="External"/><Relationship Id="rId12" Type="http://schemas.openxmlformats.org/officeDocument/2006/relationships/hyperlink" Target="https://www.fennemorelaw.com/the-opportunities-available-at-fennemore-are-seemingly-endl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2025-01-13T15:10:21Z</dcterms:created>
  <dcterms:modified xsi:type="dcterms:W3CDTF">2025-01-13T15:10:21Z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