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 w:right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553" w:right="551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MONICA DELL’OSSO</w:t>
                              </w:r>
                            </w:p>
                            <w:p>
                              <w:pPr>
                                <w:spacing w:before="48"/>
                                <w:ind w:left="553" w:right="553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553" w:right="553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53" w:right="553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510.834.1928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553" w:right="553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mdellosso@fennemorelaw.com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553" w:right="551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MONICA DELL’OSSO</w:t>
                        </w:r>
                      </w:p>
                      <w:p>
                        <w:pPr>
                          <w:spacing w:before="48"/>
                          <w:ind w:left="553" w:right="553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553" w:right="553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553" w:right="553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510.834.1928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553" w:right="553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mdellosso@fennemorelaw.com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FF8100"/>
        </w:rPr>
        <w:t>MONICA</w:t>
      </w:r>
      <w:r>
        <w:rPr>
          <w:color w:val="FF8100"/>
          <w:spacing w:val="11"/>
        </w:rPr>
        <w:t> </w:t>
      </w:r>
      <w:r>
        <w:rPr>
          <w:color w:val="FF8100"/>
          <w:spacing w:val="-2"/>
        </w:rPr>
        <w:t>DELL'OSSO</w:t>
      </w:r>
    </w:p>
    <w:p>
      <w:pPr>
        <w:pStyle w:val="BodyText"/>
        <w:spacing w:before="147"/>
        <w:ind w:left="104" w:right="0"/>
      </w:pPr>
      <w:r>
        <w:rPr>
          <w:color w:val="6E6158"/>
        </w:rPr>
        <w:t>Monica</w:t>
      </w:r>
      <w:r>
        <w:rPr>
          <w:color w:val="6E6158"/>
          <w:spacing w:val="10"/>
        </w:rPr>
        <w:t> </w:t>
      </w:r>
      <w:r>
        <w:rPr>
          <w:color w:val="6E6158"/>
        </w:rPr>
        <w:t>has</w:t>
      </w:r>
      <w:r>
        <w:rPr>
          <w:color w:val="6E6158"/>
          <w:spacing w:val="10"/>
        </w:rPr>
        <w:t> </w:t>
      </w:r>
      <w:r>
        <w:rPr>
          <w:color w:val="6E6158"/>
        </w:rPr>
        <w:t>more</w:t>
      </w:r>
      <w:r>
        <w:rPr>
          <w:color w:val="6E6158"/>
          <w:spacing w:val="10"/>
        </w:rPr>
        <w:t> </w:t>
      </w:r>
      <w:r>
        <w:rPr>
          <w:color w:val="6E6158"/>
        </w:rPr>
        <w:t>than</w:t>
      </w:r>
      <w:r>
        <w:rPr>
          <w:color w:val="6E6158"/>
          <w:spacing w:val="10"/>
        </w:rPr>
        <w:t> </w:t>
      </w:r>
      <w:r>
        <w:rPr>
          <w:color w:val="6E6158"/>
        </w:rPr>
        <w:t>35</w:t>
      </w:r>
      <w:r>
        <w:rPr>
          <w:color w:val="6E6158"/>
          <w:spacing w:val="10"/>
        </w:rPr>
        <w:t> </w:t>
      </w:r>
      <w:r>
        <w:rPr>
          <w:color w:val="6E6158"/>
        </w:rPr>
        <w:t>years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experience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trusts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estates.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respected</w:t>
      </w:r>
      <w:r>
        <w:rPr>
          <w:color w:val="6E6158"/>
          <w:spacing w:val="10"/>
        </w:rPr>
        <w:t> </w:t>
      </w:r>
      <w:r>
        <w:rPr>
          <w:color w:val="6E6158"/>
        </w:rPr>
        <w:t>leader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the</w:t>
      </w:r>
    </w:p>
    <w:p>
      <w:pPr>
        <w:pStyle w:val="BodyText"/>
        <w:spacing w:line="292" w:lineRule="auto" w:before="60"/>
        <w:ind w:left="104"/>
      </w:pPr>
      <w:r>
        <w:rPr>
          <w:color w:val="6E6158"/>
        </w:rPr>
        <w:t>field, she combines extensive insight and experience with a committed, passionate, and </w:t>
      </w:r>
      <w:r>
        <w:rPr>
          <w:color w:val="6E6158"/>
        </w:rPr>
        <w:t>caring</w:t>
      </w:r>
      <w:r>
        <w:rPr>
          <w:color w:val="6E6158"/>
          <w:spacing w:val="40"/>
        </w:rPr>
        <w:t> </w:t>
      </w:r>
      <w:r>
        <w:rPr>
          <w:color w:val="6E6158"/>
        </w:rPr>
        <w:t>approach. She is a trusted advisor for a range of clients, with a practice focus on sophisticated</w:t>
      </w:r>
      <w:r>
        <w:rPr>
          <w:color w:val="6E6158"/>
          <w:spacing w:val="40"/>
        </w:rPr>
        <w:t> </w:t>
      </w:r>
      <w:r>
        <w:rPr>
          <w:color w:val="6E6158"/>
        </w:rPr>
        <w:t>estate and gift tax planning, estate and trust administration, and contested matters in estates</w:t>
      </w:r>
      <w:r>
        <w:rPr>
          <w:color w:val="6E6158"/>
          <w:spacing w:val="40"/>
        </w:rPr>
        <w:t> </w:t>
      </w:r>
      <w:r>
        <w:rPr>
          <w:color w:val="6E6158"/>
        </w:rPr>
        <w:t>and trusts.</w:t>
      </w:r>
    </w:p>
    <w:p>
      <w:pPr>
        <w:pStyle w:val="BodyText"/>
        <w:spacing w:line="292" w:lineRule="auto" w:before="11"/>
        <w:ind w:left="104" w:right="454"/>
      </w:pPr>
      <w:r>
        <w:rPr>
          <w:color w:val="6E6158"/>
        </w:rPr>
        <w:t>Working closely with clients, Monica prepares complex estate plans that utilize sophisticated</w:t>
      </w:r>
      <w:r>
        <w:rPr>
          <w:color w:val="6E6158"/>
          <w:spacing w:val="40"/>
        </w:rPr>
        <w:t> </w:t>
      </w:r>
      <w:r>
        <w:rPr>
          <w:color w:val="6E6158"/>
        </w:rPr>
        <w:t>techniques for effective wealth transfer. She provides comprehensive guidance and handles</w:t>
      </w:r>
      <w:r>
        <w:rPr>
          <w:color w:val="6E6158"/>
          <w:spacing w:val="40"/>
        </w:rPr>
        <w:t> </w:t>
      </w:r>
      <w:r>
        <w:rPr>
          <w:color w:val="6E6158"/>
        </w:rPr>
        <w:t>numerous</w:t>
      </w:r>
      <w:r>
        <w:rPr>
          <w:color w:val="6E6158"/>
          <w:spacing w:val="23"/>
        </w:rPr>
        <w:t> </w:t>
      </w:r>
      <w:r>
        <w:rPr>
          <w:color w:val="6E6158"/>
        </w:rPr>
        <w:t>administration</w:t>
      </w:r>
      <w:r>
        <w:rPr>
          <w:color w:val="6E6158"/>
          <w:spacing w:val="23"/>
        </w:rPr>
        <w:t> </w:t>
      </w:r>
      <w:r>
        <w:rPr>
          <w:color w:val="6E6158"/>
        </w:rPr>
        <w:t>matters,</w:t>
      </w:r>
      <w:r>
        <w:rPr>
          <w:color w:val="6E6158"/>
          <w:spacing w:val="23"/>
        </w:rPr>
        <w:t> </w:t>
      </w:r>
      <w:r>
        <w:rPr>
          <w:color w:val="6E6158"/>
        </w:rPr>
        <w:t>including</w:t>
      </w:r>
      <w:r>
        <w:rPr>
          <w:color w:val="6E6158"/>
          <w:spacing w:val="23"/>
        </w:rPr>
        <w:t> </w:t>
      </w:r>
      <w:r>
        <w:rPr>
          <w:color w:val="6E6158"/>
        </w:rPr>
        <w:t>formal</w:t>
      </w:r>
      <w:r>
        <w:rPr>
          <w:color w:val="6E6158"/>
          <w:spacing w:val="23"/>
        </w:rPr>
        <w:t> </w:t>
      </w:r>
      <w:r>
        <w:rPr>
          <w:color w:val="6E6158"/>
        </w:rPr>
        <w:t>probates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post-death</w:t>
      </w:r>
      <w:r>
        <w:rPr>
          <w:color w:val="6E6158"/>
          <w:spacing w:val="23"/>
        </w:rPr>
        <w:t> </w:t>
      </w:r>
      <w:r>
        <w:rPr>
          <w:color w:val="6E6158"/>
        </w:rPr>
        <w:t>trust</w:t>
      </w:r>
      <w:r>
        <w:rPr>
          <w:color w:val="6E6158"/>
          <w:spacing w:val="23"/>
        </w:rPr>
        <w:t> </w:t>
      </w:r>
      <w:r>
        <w:rPr>
          <w:color w:val="6E6158"/>
        </w:rPr>
        <w:t>administrations.</w:t>
      </w:r>
    </w:p>
    <w:p>
      <w:pPr>
        <w:pStyle w:val="BodyText"/>
        <w:spacing w:line="295" w:lineRule="auto" w:before="197"/>
        <w:ind w:left="104" w:right="694"/>
      </w:pPr>
      <w:r>
        <w:rPr>
          <w:color w:val="6E6158"/>
        </w:rPr>
        <w:t>Monica has written and lectured on a wide range of topics related to trusts and estates. A</w:t>
      </w:r>
      <w:r>
        <w:rPr>
          <w:color w:val="6E6158"/>
          <w:spacing w:val="40"/>
        </w:rPr>
        <w:t> </w:t>
      </w:r>
      <w:r>
        <w:rPr>
          <w:color w:val="6E6158"/>
        </w:rPr>
        <w:t>certified specialist in probate, estate planning and trust law by the State Bar of California Board</w:t>
      </w:r>
      <w:r>
        <w:rPr>
          <w:color w:val="6E6158"/>
          <w:spacing w:val="80"/>
        </w:rPr>
        <w:t> </w:t>
      </w:r>
      <w:r>
        <w:rPr>
          <w:color w:val="6E6158"/>
        </w:rPr>
        <w:t>of Legal Specialization and a Fellow of the American College of Trust and Estate Counsel</w:t>
      </w:r>
      <w:r>
        <w:rPr>
          <w:color w:val="6E6158"/>
          <w:spacing w:val="40"/>
        </w:rPr>
        <w:t> </w:t>
      </w:r>
      <w:r>
        <w:rPr>
          <w:color w:val="6E6158"/>
        </w:rPr>
        <w:t>(ACTEC)she</w:t>
      </w:r>
      <w:r>
        <w:rPr>
          <w:color w:val="6E6158"/>
          <w:spacing w:val="34"/>
        </w:rPr>
        <w:t> </w:t>
      </w:r>
      <w:r>
        <w:rPr>
          <w:color w:val="6E6158"/>
        </w:rPr>
        <w:t>is</w:t>
      </w:r>
      <w:r>
        <w:rPr>
          <w:color w:val="6E6158"/>
          <w:spacing w:val="34"/>
        </w:rPr>
        <w:t> </w:t>
      </w:r>
      <w:r>
        <w:rPr>
          <w:color w:val="6E6158"/>
        </w:rPr>
        <w:t>regularly</w:t>
      </w:r>
      <w:r>
        <w:rPr>
          <w:color w:val="6E6158"/>
          <w:spacing w:val="34"/>
        </w:rPr>
        <w:t> </w:t>
      </w:r>
      <w:r>
        <w:rPr>
          <w:color w:val="6E6158"/>
        </w:rPr>
        <w:t>selected</w:t>
      </w:r>
      <w:r>
        <w:rPr>
          <w:color w:val="6E6158"/>
          <w:spacing w:val="34"/>
        </w:rPr>
        <w:t> </w:t>
      </w:r>
      <w:r>
        <w:rPr>
          <w:color w:val="6E6158"/>
        </w:rPr>
        <w:t>for</w:t>
      </w:r>
      <w:r>
        <w:rPr>
          <w:color w:val="6E6158"/>
          <w:spacing w:val="34"/>
        </w:rPr>
        <w:t> </w:t>
      </w:r>
      <w:r>
        <w:rPr>
          <w:color w:val="6E6158"/>
        </w:rPr>
        <w:t>inclusion</w:t>
      </w:r>
      <w:r>
        <w:rPr>
          <w:color w:val="6E6158"/>
          <w:spacing w:val="34"/>
        </w:rPr>
        <w:t> </w:t>
      </w:r>
      <w:r>
        <w:rPr>
          <w:color w:val="6E6158"/>
        </w:rPr>
        <w:t>in</w:t>
      </w:r>
      <w:r>
        <w:rPr>
          <w:color w:val="6E6158"/>
          <w:spacing w:val="34"/>
        </w:rPr>
        <w:t> </w:t>
      </w:r>
      <w:r>
        <w:rPr>
          <w:color w:val="6E6158"/>
        </w:rPr>
        <w:t>multiple</w:t>
      </w:r>
      <w:r>
        <w:rPr>
          <w:color w:val="6E6158"/>
          <w:spacing w:val="34"/>
        </w:rPr>
        <w:t> </w:t>
      </w:r>
      <w:r>
        <w:rPr>
          <w:color w:val="6E6158"/>
        </w:rPr>
        <w:t>peer-rated</w:t>
      </w:r>
      <w:r>
        <w:rPr>
          <w:color w:val="6E6158"/>
          <w:spacing w:val="34"/>
        </w:rPr>
        <w:t> </w:t>
      </w:r>
      <w:r>
        <w:rPr>
          <w:color w:val="6E6158"/>
        </w:rPr>
        <w:t>publications,</w:t>
      </w:r>
      <w:r>
        <w:rPr>
          <w:color w:val="6E6158"/>
          <w:spacing w:val="34"/>
        </w:rPr>
        <w:t> </w:t>
      </w:r>
      <w:r>
        <w:rPr>
          <w:color w:val="6E6158"/>
        </w:rPr>
        <w:t>such</w:t>
      </w:r>
      <w:r>
        <w:rPr>
          <w:color w:val="6E6158"/>
          <w:spacing w:val="34"/>
        </w:rPr>
        <w:t> </w:t>
      </w:r>
      <w:r>
        <w:rPr>
          <w:color w:val="6E6158"/>
        </w:rPr>
        <w:t>as Northern California Super Lawyers.</w:t>
      </w:r>
    </w:p>
    <w:p>
      <w:pPr>
        <w:pStyle w:val="Heading1"/>
        <w:spacing w:before="169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152429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2329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Ph.D.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Virginia</w:t>
      </w:r>
    </w:p>
    <w:p>
      <w:pPr>
        <w:pStyle w:val="BodyText"/>
        <w:spacing w:before="174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170159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8374pt;width:1.65pt;height:1.65pt;mso-position-horizontal-relative:page;mso-position-vertical-relative:paragraph;z-index:15729664" id="docshape8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California,</w:t>
      </w:r>
      <w:r>
        <w:rPr>
          <w:color w:val="6E6158"/>
          <w:spacing w:val="13"/>
        </w:rPr>
        <w:t> </w:t>
      </w:r>
      <w:r>
        <w:rPr>
          <w:color w:val="6E6158"/>
        </w:rPr>
        <w:t>Berkeley</w:t>
      </w:r>
      <w:r>
        <w:rPr>
          <w:color w:val="6E6158"/>
          <w:spacing w:val="13"/>
        </w:rPr>
        <w:t> </w:t>
      </w:r>
      <w:r>
        <w:rPr>
          <w:color w:val="6E6158"/>
        </w:rPr>
        <w:t>School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Law</w:t>
      </w:r>
    </w:p>
    <w:p>
      <w:pPr>
        <w:spacing w:before="164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170109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4418pt;width:1.65pt;height:1.65pt;mso-position-horizontal-relative:page;mso-position-vertical-relative:paragraph;z-index:15730176" id="docshape9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St.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Mary-of-the-Woods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College,</w:t>
      </w:r>
      <w:r>
        <w:rPr>
          <w:color w:val="6E6158"/>
          <w:spacing w:val="5"/>
          <w:sz w:val="19"/>
        </w:rPr>
        <w:t> </w:t>
      </w:r>
      <w:r>
        <w:rPr>
          <w:i/>
          <w:color w:val="6E6158"/>
          <w:sz w:val="20"/>
        </w:rPr>
        <w:t>summa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47"/>
        <w:ind w:left="0" w:right="0"/>
        <w:rPr>
          <w:i/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right="74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152619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7267pt;width:1.65pt;height:1.65pt;mso-position-horizontal-relative:page;mso-position-vertical-relative:paragraph;z-index:15730688" id="docshape1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410984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1015pt;width:1.65pt;height:1.65pt;mso-position-horizontal-relative:page;mso-position-vertical-relative:paragraph;z-index:15731200" id="docshape11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line="427" w:lineRule="auto" w:before="0"/>
        <w:ind w:right="52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58265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87798pt;width:1.65pt;height:1.65pt;mso-position-horizontal-relative:page;mso-position-vertical-relative:paragraph;z-index:15731712" id="docshape12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321797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38423pt;width:1.65pt;height:1.65pt;mso-position-horizontal-relative:page;mso-position-vertical-relative:paragraph;z-index:15732224" id="docshape13" coordorigin="1675,507" coordsize="33,33" path="m1696,539l1687,539,1683,538,1676,531,1675,528,1675,519,1676,515,1683,508,1687,507,1696,507,1699,508,1706,515,1707,519,1707,523,1707,528,1706,531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Family Office &amp; Private Client </w:t>
      </w:r>
      <w:r>
        <w:rPr>
          <w:color w:val="6E6158"/>
        </w:rPr>
        <w:t>Attorneys Estate Planning</w:t>
      </w:r>
    </w:p>
    <w:p>
      <w:pPr>
        <w:pStyle w:val="Heading1"/>
        <w:spacing w:before="152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2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2736" id="docshape14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Certified Specialist – Probate, Estate Planning and Trust Law, State Bar of California Board of</w:t>
      </w:r>
      <w:r>
        <w:rPr>
          <w:color w:val="6E6158"/>
          <w:spacing w:val="40"/>
        </w:rPr>
        <w:t> </w:t>
      </w:r>
      <w:r>
        <w:rPr>
          <w:color w:val="6E6158"/>
        </w:rPr>
        <w:t>Legal Specialization</w:t>
      </w:r>
    </w:p>
    <w:p>
      <w:pPr>
        <w:spacing w:before="12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82pt;width:1.65pt;height:1.65pt;mso-position-horizontal-relative:page;mso-position-vertical-relative:paragraph;z-index:15733248" id="docshape15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Northern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California’s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100</w:t>
      </w:r>
      <w:r>
        <w:rPr>
          <w:color w:val="6E6158"/>
          <w:spacing w:val="4"/>
          <w:sz w:val="19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color w:val="6E6158"/>
          <w:sz w:val="19"/>
        </w:rPr>
        <w:t>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2007-</w:t>
      </w:r>
      <w:r>
        <w:rPr>
          <w:color w:val="6E6158"/>
          <w:spacing w:val="-2"/>
          <w:sz w:val="19"/>
        </w:rPr>
        <w:t>present</w:t>
      </w:r>
    </w:p>
    <w:p>
      <w:pPr>
        <w:spacing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168363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6989pt;width:1.65pt;height:1.65pt;mso-position-horizontal-relative:page;mso-position-vertical-relative:paragraph;z-index:15733760" id="docshape16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color w:val="6E6158"/>
          <w:sz w:val="19"/>
        </w:rPr>
        <w:t>®,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2006,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2007,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2010-</w:t>
      </w:r>
      <w:r>
        <w:rPr>
          <w:color w:val="6E6158"/>
          <w:spacing w:val="-4"/>
          <w:sz w:val="19"/>
        </w:rPr>
        <w:t>2025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168782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9996pt;width:1.65pt;height:1.65pt;mso-position-horizontal-relative:page;mso-position-vertical-relative:paragraph;z-index:15734272" id="docshape17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Top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50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Women</w:t>
      </w:r>
      <w:r>
        <w:rPr>
          <w:color w:val="6E6158"/>
          <w:spacing w:val="-4"/>
          <w:sz w:val="19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color w:val="6E6158"/>
          <w:sz w:val="19"/>
        </w:rPr>
        <w:t>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2007-</w:t>
      </w:r>
      <w:r>
        <w:rPr>
          <w:color w:val="6E6158"/>
          <w:spacing w:val="-4"/>
          <w:sz w:val="19"/>
        </w:rPr>
        <w:t>2022</w:t>
      </w:r>
    </w:p>
    <w:p>
      <w:pPr>
        <w:pStyle w:val="BodyText"/>
        <w:spacing w:before="39"/>
        <w:ind w:left="0" w:righ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6"/>
        <w:ind w:right="6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152475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5971pt;width:1.65pt;height:1.65pt;mso-position-horizontal-relative:page;mso-position-vertical-relative:paragraph;z-index:15734784" id="docshape18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“Estate Planning for Vacation Homes,” Estate Planning for Special Assets, </w:t>
      </w:r>
      <w:r>
        <w:rPr>
          <w:color w:val="6E6158"/>
        </w:rPr>
        <w:t>Continuing Education of the Bar (CEB), 2005, updated 2008, 2010, and 2014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131381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5003pt;width:1.65pt;height:1.65pt;mso-position-horizontal-relative:page;mso-position-vertical-relative:paragraph;z-index:15735296" id="docshape19" coordorigin="1675,207" coordsize="33,33" path="m1696,239l1687,239,1683,238,1676,232,1675,228,1675,219,1676,215,1683,208,1687,207,1696,207,1699,208,1706,215,1707,219,1707,223,1707,228,1706,232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“Difficult Family Situations,” Complete Plans from Small and Mid-Size </w:t>
      </w:r>
      <w:r>
        <w:rPr>
          <w:color w:val="6E6158"/>
        </w:rPr>
        <w:t>Estates, Continuing Education of the Bar (CEB), 2007, updated 2008 – 2010 and 2014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137908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8976pt;width:1.65pt;height:1.65pt;mso-position-horizontal-relative:page;mso-position-vertical-relative:paragraph;z-index:15735808" id="docshape20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California Civil Practice: Probate and Trust Proceedings, 4 volumes, </w:t>
      </w:r>
      <w:r>
        <w:rPr>
          <w:color w:val="6E6158"/>
        </w:rPr>
        <w:t>Thompson, 1993, updated semi-annually</w:t>
      </w:r>
    </w:p>
    <w:p>
      <w:pPr>
        <w:pStyle w:val="BodyText"/>
        <w:spacing w:before="113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131419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8008pt;width:1.65pt;height:1.65pt;mso-position-horizontal-relative:page;mso-position-vertical-relative:paragraph;z-index:15736320" id="docshape21" coordorigin="1675,207" coordsize="33,33" path="m1696,240l1687,240,1683,238,1676,232,1675,228,1675,219,1676,215,1683,209,1687,207,1696,207,1699,209,1706,215,1707,219,1707,223,1707,228,1706,232,1699,238,1696,2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5"/>
        </w:rPr>
        <w:t> </w:t>
      </w:r>
      <w:r>
        <w:rPr>
          <w:color w:val="6E6158"/>
        </w:rPr>
        <w:t>“Surrogate</w:t>
      </w:r>
      <w:r>
        <w:rPr>
          <w:color w:val="6E6158"/>
          <w:spacing w:val="15"/>
        </w:rPr>
        <w:t> </w:t>
      </w:r>
      <w:r>
        <w:rPr>
          <w:color w:val="6E6158"/>
        </w:rPr>
        <w:t>Financial</w:t>
      </w:r>
      <w:r>
        <w:rPr>
          <w:color w:val="6E6158"/>
          <w:spacing w:val="15"/>
        </w:rPr>
        <w:t> </w:t>
      </w:r>
      <w:r>
        <w:rPr>
          <w:color w:val="6E6158"/>
        </w:rPr>
        <w:t>Management,”</w:t>
      </w:r>
      <w:r>
        <w:rPr>
          <w:color w:val="6E6158"/>
          <w:spacing w:val="15"/>
        </w:rPr>
        <w:t> </w:t>
      </w:r>
      <w:r>
        <w:rPr>
          <w:color w:val="6E6158"/>
        </w:rPr>
        <w:t>California</w:t>
      </w:r>
      <w:r>
        <w:rPr>
          <w:color w:val="6E6158"/>
          <w:spacing w:val="15"/>
        </w:rPr>
        <w:t> </w:t>
      </w:r>
      <w:r>
        <w:rPr>
          <w:color w:val="6E6158"/>
        </w:rPr>
        <w:t>Elder</w:t>
      </w:r>
      <w:r>
        <w:rPr>
          <w:color w:val="6E6158"/>
          <w:spacing w:val="15"/>
        </w:rPr>
        <w:t> </w:t>
      </w:r>
      <w:r>
        <w:rPr>
          <w:color w:val="6E6158"/>
        </w:rPr>
        <w:t>Law</w:t>
      </w:r>
      <w:r>
        <w:rPr>
          <w:color w:val="6E6158"/>
          <w:spacing w:val="15"/>
        </w:rPr>
        <w:t> </w:t>
      </w:r>
      <w:r>
        <w:rPr>
          <w:color w:val="6E6158"/>
        </w:rPr>
        <w:t>Resources,</w:t>
      </w:r>
      <w:r>
        <w:rPr>
          <w:color w:val="6E6158"/>
          <w:spacing w:val="15"/>
        </w:rPr>
        <w:t> </w:t>
      </w:r>
      <w:r>
        <w:rPr>
          <w:color w:val="6E6158"/>
        </w:rPr>
        <w:t>Benefits</w:t>
      </w:r>
      <w:r>
        <w:rPr>
          <w:color w:val="6E6158"/>
          <w:spacing w:val="15"/>
        </w:rPr>
        <w:t> </w:t>
      </w:r>
      <w:r>
        <w:rPr>
          <w:color w:val="6E6158"/>
          <w:spacing w:val="-5"/>
        </w:rPr>
        <w:t>and</w:t>
      </w:r>
    </w:p>
    <w:p>
      <w:pPr>
        <w:pStyle w:val="BodyText"/>
        <w:spacing w:line="302" w:lineRule="auto" w:before="52"/>
      </w:pPr>
      <w:r>
        <w:rPr>
          <w:color w:val="6E6158"/>
        </w:rPr>
        <w:t>Planning: An Advocate’s Guide, Continuing Education of the Bar (CEB), 1993, updated </w:t>
      </w:r>
      <w:r>
        <w:rPr>
          <w:color w:val="6E6158"/>
        </w:rPr>
        <w:t>2003,</w:t>
      </w:r>
      <w:r>
        <w:rPr>
          <w:color w:val="6E6158"/>
          <w:spacing w:val="40"/>
        </w:rPr>
        <w:t> </w:t>
      </w:r>
      <w:r>
        <w:rPr>
          <w:color w:val="6E6158"/>
        </w:rPr>
        <w:t>2005, 2007, 2010 and 2013</w:t>
      </w:r>
    </w:p>
    <w:p>
      <w:pPr>
        <w:pStyle w:val="BodyText"/>
        <w:spacing w:line="292" w:lineRule="auto" w:before="113"/>
        <w:ind w:right="6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131190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996pt;width:1.65pt;height:1.65pt;mso-position-horizontal-relative:page;mso-position-vertical-relative:paragraph;z-index:15736832" id="docshape22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Funding A Revocable Trust, Continuing Education of the Bar (CEB), 1993, updated 2002 and 2003</w:t>
      </w:r>
    </w:p>
    <w:p>
      <w:pPr>
        <w:pStyle w:val="BodyText"/>
        <w:spacing w:line="302" w:lineRule="auto"/>
        <w:ind w:right="4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137717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3933pt;width:1.65pt;height:1.65pt;mso-position-horizontal-relative:page;mso-position-vertical-relative:paragraph;z-index:15737344" id="docshape23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“Tax Considerations” Drafting California Revocable Trusts, Continuing Education </w:t>
      </w:r>
      <w:r>
        <w:rPr>
          <w:color w:val="6E6158"/>
        </w:rPr>
        <w:t>of the Bar (CEB), 2003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131228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2965pt;width:1.65pt;height:1.65pt;mso-position-horizontal-relative:page;mso-position-vertical-relative:paragraph;z-index:15737856" id="docshape24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“Income Tax Basis,” California Estate Planning, Continuing Education of the Bar (CEB), </w:t>
      </w:r>
      <w:r>
        <w:rPr>
          <w:color w:val="6E6158"/>
          <w:spacing w:val="-4"/>
        </w:rPr>
        <w:t>2002</w:t>
      </w:r>
    </w:p>
    <w:p>
      <w:pPr>
        <w:pStyle w:val="BodyText"/>
        <w:spacing w:line="302" w:lineRule="auto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137756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6938pt;width:1.65pt;height:1.65pt;mso-position-horizontal-relative:page;mso-position-vertical-relative:paragraph;z-index:15738368" id="docshape25" coordorigin="1675,217" coordsize="33,33" path="m1696,249l1687,249,1683,248,1676,242,1675,238,1675,229,1676,225,1683,219,1687,217,1696,217,1699,219,1706,225,1707,229,1707,233,1707,238,1706,242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“Current Developments in Planning with Private/Family Split Dollar Insurance and </w:t>
      </w:r>
      <w:r>
        <w:rPr>
          <w:color w:val="6E6158"/>
        </w:rPr>
        <w:t>Stock Options,” 52 Major Tax Planning, Lexis Publishing, 2000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131266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597pt;width:1.65pt;height:1.65pt;mso-position-horizontal-relative:page;mso-position-vertical-relative:paragraph;z-index:15738880" id="docshape26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“Marital Deduction Trusts,” California Transactions Forms – Estate Planning, </w:t>
      </w:r>
      <w:r>
        <w:rPr>
          <w:color w:val="6E6158"/>
        </w:rPr>
        <w:t>West Publishing Company, 1999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137794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9943pt;width:1.65pt;height:1.65pt;mso-position-horizontal-relative:page;mso-position-vertical-relative:paragraph;z-index:15739392" id="docshape27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“Trusts for Minors,” Drafting California Irrevocable Trusts, Continuing Education </w:t>
      </w:r>
      <w:r>
        <w:rPr>
          <w:color w:val="6E6158"/>
        </w:rPr>
        <w:t>of the Bar (CEB), 1997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131304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8975pt;width:1.65pt;height:1.65pt;mso-position-horizontal-relative:page;mso-position-vertical-relative:paragraph;z-index:15739904" id="docshape28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“Representing the Absconding Fiduciary: The Ethical Issues,” California Trusts </w:t>
      </w:r>
      <w:r>
        <w:rPr>
          <w:color w:val="6E6158"/>
        </w:rPr>
        <w:t>and Estates Quarterly, 1996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142999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9823pt;width:1.65pt;height:1.65pt;mso-position-horizontal-relative:page;mso-position-vertical-relative:paragraph;z-index:15740416" id="docshape29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“Estate Planning for Children: An Overview,” Estate Planning 1996, </w:t>
      </w:r>
      <w:r>
        <w:rPr>
          <w:color w:val="6E6158"/>
        </w:rPr>
        <w:t>Continuing Education of the Bar (CEB), 1996</w:t>
      </w:r>
    </w:p>
    <w:p>
      <w:pPr>
        <w:pStyle w:val="BodyText"/>
        <w:spacing w:line="29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138097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3796pt;width:1.65pt;height:1.65pt;mso-position-horizontal-relative:page;mso-position-vertical-relative:paragraph;z-index:15740928" id="docshape30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Co-Panelist, “Subtrust Funding and Administering Ongoing Trusts,” East Bay Trusts and </w:t>
      </w:r>
      <w:r>
        <w:rPr>
          <w:color w:val="6E6158"/>
        </w:rPr>
        <w:t>Estates Lawyers, Trust Administration Boot Camp, 2021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142806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4645pt;width:1.65pt;height:1.65pt;mso-position-horizontal-relative:page;mso-position-vertical-relative:paragraph;z-index:15741440" id="docshape31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Co-Panelist, “Trust and Estate Litigation Seminar: A Comprehensive Analysis from Intake </w:t>
      </w:r>
      <w:r>
        <w:rPr>
          <w:color w:val="6E6158"/>
        </w:rPr>
        <w:t>to Resolution,” Continuing Education of the Bar (CEB), December 2010</w:t>
      </w:r>
    </w:p>
    <w:p>
      <w:pPr>
        <w:pStyle w:val="BodyText"/>
        <w:spacing w:line="292" w:lineRule="auto"/>
        <w:ind w:right="6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137904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8618pt;width:1.65pt;height:1.65pt;mso-position-horizontal-relative:page;mso-position-vertical-relative:paragraph;z-index:15741952" id="docshape32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Co-Panelist, “How to Cope with the Current Estate and Gift Tax Laws – What are they?” Thirty-</w:t>
      </w:r>
      <w:r>
        <w:rPr>
          <w:color w:val="6E6158"/>
          <w:spacing w:val="40"/>
        </w:rPr>
        <w:t> </w:t>
      </w:r>
      <w:r>
        <w:rPr>
          <w:color w:val="6E6158"/>
        </w:rPr>
        <w:t>Second Annual UCLA-CEB Estate Planning Institute, May 2010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143249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9467pt;width:1.65pt;height:1.65pt;mso-position-horizontal-relative:page;mso-position-vertical-relative:paragraph;z-index:15742464" id="docshape33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Co-Panelist, “Estate Litigation: Tactical Issues. Case Studies and Resolution </w:t>
      </w:r>
      <w:r>
        <w:rPr>
          <w:color w:val="6E6158"/>
        </w:rPr>
        <w:t>Scenarios,” Continuing Education of the Bar (CEB), December 2008</w:t>
      </w: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137711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344pt;width:1.65pt;height:1.65pt;mso-position-horizontal-relative:page;mso-position-vertical-relative:paragraph;z-index:15742976" id="docshape34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Co-Panelist, “Advanced Estate Planning Practice Update – Fall 2007,” ALI-ABA, </w:t>
      </w:r>
      <w:r>
        <w:rPr>
          <w:color w:val="6E6158"/>
        </w:rPr>
        <w:t>September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2007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43488" id="docshape35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“Post-Mortem Estate Planning,” Professional Education Broadcast </w:t>
      </w:r>
      <w:r>
        <w:rPr>
          <w:color w:val="6E6158"/>
        </w:rPr>
        <w:t>Network, November 2006 and August 2007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37pt;width:1.65pt;height:1.65pt;mso-position-horizontal-relative:page;mso-position-vertical-relative:paragraph;z-index:15744000" id="docshape36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“Post Death Tax Planning and Elections,” 37th Annual Estate Planning </w:t>
      </w:r>
      <w:r>
        <w:rPr>
          <w:color w:val="6E6158"/>
        </w:rPr>
        <w:t>Institute, Practicing Law Institute (PLI), October 2006</w:t>
      </w: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137641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7911pt;width:1.65pt;height:1.65pt;mso-position-horizontal-relative:page;mso-position-vertical-relative:paragraph;z-index:15744512" id="docshape37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“Post Death Tax Planning and Elections,” Tax Strategies for the High-Income Individual, American Institute of Certified Public Accountants, May 2006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142986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8759pt;width:1.65pt;height:1.65pt;mso-position-horizontal-relative:page;mso-position-vertical-relative:paragraph;z-index:15745024" id="docshape38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Co-Panelist, “Advanced Estate Planning Practice Update – Winter 2006,” ALI-ABA, </w:t>
      </w:r>
      <w:r>
        <w:rPr>
          <w:color w:val="6E6158"/>
        </w:rPr>
        <w:t>February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2006</w:t>
      </w:r>
    </w:p>
    <w:p>
      <w:pPr>
        <w:pStyle w:val="BodyText"/>
        <w:spacing w:line="292" w:lineRule="auto" w:before="124"/>
        <w:ind w:right="0" w:firstLine="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138083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2732pt;width:1.65pt;height:1.65pt;mso-position-horizontal-relative:page;mso-position-vertical-relative:paragraph;z-index:15745536" id="docshape39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“Estate Litigation: Tactical Issues, Case Studies and Resolution Scenarios,” Continuing Education of the Bar (CEB), November 2005</w:t>
      </w:r>
    </w:p>
    <w:p>
      <w:pPr>
        <w:pStyle w:val="BodyText"/>
        <w:spacing w:before="131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142793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358pt;width:1.65pt;height:1.65pt;mso-position-horizontal-relative:page;mso-position-vertical-relative:paragraph;z-index:15746048" id="docshape40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12"/>
        </w:rPr>
        <w:t> </w:t>
      </w:r>
      <w:r>
        <w:rPr>
          <w:color w:val="6E6158"/>
        </w:rPr>
        <w:t>“Use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Disclaimers,”</w:t>
      </w:r>
      <w:r>
        <w:rPr>
          <w:color w:val="6E6158"/>
          <w:spacing w:val="13"/>
        </w:rPr>
        <w:t> </w:t>
      </w:r>
      <w:r>
        <w:rPr>
          <w:color w:val="6E6158"/>
        </w:rPr>
        <w:t>San</w:t>
      </w:r>
      <w:r>
        <w:rPr>
          <w:color w:val="6E6158"/>
          <w:spacing w:val="13"/>
        </w:rPr>
        <w:t> </w:t>
      </w:r>
      <w:r>
        <w:rPr>
          <w:color w:val="6E6158"/>
        </w:rPr>
        <w:t>Francisco</w:t>
      </w:r>
      <w:r>
        <w:rPr>
          <w:color w:val="6E6158"/>
          <w:spacing w:val="12"/>
        </w:rPr>
        <w:t> </w:t>
      </w:r>
      <w:r>
        <w:rPr>
          <w:color w:val="6E6158"/>
        </w:rPr>
        <w:t>Estate</w:t>
      </w:r>
      <w:r>
        <w:rPr>
          <w:color w:val="6E6158"/>
          <w:spacing w:val="13"/>
        </w:rPr>
        <w:t> </w:t>
      </w:r>
      <w:r>
        <w:rPr>
          <w:color w:val="6E6158"/>
        </w:rPr>
        <w:t>Planning</w:t>
      </w:r>
      <w:r>
        <w:rPr>
          <w:color w:val="6E6158"/>
          <w:spacing w:val="13"/>
        </w:rPr>
        <w:t> </w:t>
      </w:r>
      <w:r>
        <w:rPr>
          <w:color w:val="6E6158"/>
        </w:rPr>
        <w:t>Council,</w:t>
      </w:r>
      <w:r>
        <w:rPr>
          <w:color w:val="6E6158"/>
          <w:spacing w:val="12"/>
        </w:rPr>
        <w:t> </w:t>
      </w:r>
      <w:r>
        <w:rPr>
          <w:color w:val="6E6158"/>
        </w:rPr>
        <w:t>November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2005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170048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9625pt;width:1.65pt;height:1.65pt;mso-position-horizontal-relative:page;mso-position-vertical-relative:paragraph;z-index:15746560" id="docshape41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“Post-Death Tax Planning and Elections,” 36th Annual Estate Planning </w:t>
      </w:r>
      <w:r>
        <w:rPr>
          <w:color w:val="6E6158"/>
        </w:rPr>
        <w:t>Institute, Practicing Law Institute (PLI), October 2005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137840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3598pt;width:1.65pt;height:1.65pt;mso-position-horizontal-relative:page;mso-position-vertical-relative:paragraph;z-index:15747072" id="docshape42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“Making Waivers Work: Disclosure v. Intelligibility,” Representing Trust and </w:t>
      </w:r>
      <w:r>
        <w:rPr>
          <w:color w:val="6E6158"/>
        </w:rPr>
        <w:t>Estate Beneficiaries and Fiduciaries, ALI-ABA, July 2005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131351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2629pt;width:1.65pt;height:1.65pt;mso-position-horizontal-relative:page;mso-position-vertical-relative:paragraph;z-index:15747584" id="docshape43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“Who’s the Client? Ethics for the Trust and Estate Counsel,” State Bar Section Education Institute, January 2005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143046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3478pt;width:1.65pt;height:1.65pt;mso-position-horizontal-relative:page;mso-position-vertical-relative:paragraph;z-index:15748096" id="docshape44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Co-Panelist, “Estate Planning for Special Assets,” Continuing Education of the Bar </w:t>
      </w:r>
      <w:r>
        <w:rPr>
          <w:color w:val="6E6158"/>
        </w:rPr>
        <w:t>(CEB), January 2005</w:t>
      </w: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137508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27451pt;width:1.65pt;height:1.65pt;mso-position-horizontal-relative:page;mso-position-vertical-relative:paragraph;z-index:15748608" id="docshape45" coordorigin="1675,217" coordsize="33,33" path="m1696,249l1687,249,1683,248,1676,241,1675,237,1675,228,1676,224,1683,218,1687,217,1696,217,1699,218,1706,224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“Current Developments in Planning with Private/Family Split Dollar Insurance </w:t>
      </w:r>
      <w:r>
        <w:rPr>
          <w:color w:val="6E6158"/>
        </w:rPr>
        <w:t>and Stock Options,” USC Law School 52nd Institute on Federal Taxation, 2000</w:t>
      </w:r>
    </w:p>
    <w:p>
      <w:pPr>
        <w:pStyle w:val="Heading1"/>
        <w:spacing w:before="170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right="43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152921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033pt;width:1.65pt;height:1.65pt;mso-position-horizontal-relative:page;mso-position-vertical-relative:paragraph;z-index:15749120" id="docshape46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411286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4781pt;width:1.65pt;height:1.65pt;mso-position-horizontal-relative:page;mso-position-vertical-relative:paragraph;z-index:15749632" id="docshape47" coordorigin="1675,648" coordsize="33,33" path="m1696,680l1687,680,1683,679,1676,672,1675,668,1675,659,1676,656,1683,649,1687,648,1696,648,1699,649,1706,656,1707,659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Fellow, American College of Trust and Estate </w:t>
      </w:r>
      <w:r>
        <w:rPr>
          <w:color w:val="6E6158"/>
        </w:rPr>
        <w:t>Counsel Co-Chair, UCLA-CEB Estate Planning Institute</w:t>
      </w:r>
    </w:p>
    <w:p>
      <w:pPr>
        <w:pStyle w:val="BodyText"/>
        <w:spacing w:line="420" w:lineRule="auto" w:before="0"/>
        <w:ind w:right="6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58566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1564pt;width:1.65pt;height:1.65pt;mso-position-horizontal-relative:page;mso-position-vertical-relative:paragraph;z-index:15750144" id="docshape48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316932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55313pt;width:1.65pt;height:1.65pt;mso-position-horizontal-relative:page;mso-position-vertical-relative:paragraph;z-index:15750656" id="docshape49" coordorigin="1675,499" coordsize="33,33" path="m1696,532l1687,532,1683,530,1676,524,1675,520,1675,511,1676,507,1683,501,1687,499,1696,499,1699,501,1706,507,1707,511,1707,515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Chair, Estate Planning, Trust and Probate Law Section, Alameda County Bar </w:t>
      </w:r>
      <w:r>
        <w:rPr>
          <w:color w:val="6E6158"/>
        </w:rPr>
        <w:t>Association Member, Board of Directors, Legal Assistance For Seniors, 2001-2016</w:t>
      </w:r>
    </w:p>
    <w:p>
      <w:pPr>
        <w:pStyle w:val="Heading1"/>
        <w:spacing w:before="166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152842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4827pt;width:1.65pt;height:1.65pt;mso-position-horizontal-relative:page;mso-position-vertical-relative:paragraph;z-index:15751168" id="docshape50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23"/>
      <w:ind w:left="356" w:right="71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mdellosso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2025-01-02T06:35:58Z</dcterms:created>
  <dcterms:modified xsi:type="dcterms:W3CDTF">2025-01-02T06:35:58Z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