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49450" y="763308"/>
                            <a:ext cx="16135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KELLY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85253" y="2490038"/>
                            <a:ext cx="13423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rkelly@fennemorelaw.com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13681" y="3745695"/>
                            <a:ext cx="225552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plead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oblige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yourself to prove that you can not.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–Abraham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832064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45;top:1762;width:254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KELLY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59;top:4481;width:211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rkelly@fennemorelaw.com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354;top:6458;width:3552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plead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oblige </w:t>
                        </w:r>
                        <w:r>
                          <w:rPr>
                            <w:color w:val="FFFFFF"/>
                            <w:sz w:val="16"/>
                          </w:rPr>
                          <w:t>yourself to prove that you can not.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–Abraham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56"/>
        <w:ind w:left="0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ROBERT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KELLY</w:t>
      </w:r>
    </w:p>
    <w:p>
      <w:pPr>
        <w:pStyle w:val="BodyText"/>
        <w:spacing w:line="297" w:lineRule="auto" w:before="146"/>
        <w:ind w:left="104" w:right="189"/>
      </w:pPr>
      <w:r>
        <w:rPr>
          <w:color w:val="6E6158"/>
        </w:rPr>
        <w:t>Robert</w:t>
      </w:r>
      <w:r>
        <w:rPr>
          <w:color w:val="6E6158"/>
          <w:spacing w:val="28"/>
        </w:rPr>
        <w:t> </w:t>
      </w:r>
      <w:r>
        <w:rPr>
          <w:color w:val="6E6158"/>
        </w:rPr>
        <w:t>Kelly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more</w:t>
      </w:r>
      <w:r>
        <w:rPr>
          <w:color w:val="6E6158"/>
          <w:spacing w:val="28"/>
        </w:rPr>
        <w:t> </w:t>
      </w:r>
      <w:r>
        <w:rPr>
          <w:color w:val="6E6158"/>
        </w:rPr>
        <w:t>than</w:t>
      </w:r>
      <w:r>
        <w:rPr>
          <w:color w:val="6E6158"/>
          <w:spacing w:val="28"/>
        </w:rPr>
        <w:t> </w:t>
      </w:r>
      <w:r>
        <w:rPr>
          <w:color w:val="6E6158"/>
        </w:rPr>
        <w:t>40</w:t>
      </w:r>
      <w:r>
        <w:rPr>
          <w:color w:val="6E6158"/>
          <w:spacing w:val="28"/>
        </w:rPr>
        <w:t> </w:t>
      </w:r>
      <w:r>
        <w:rPr>
          <w:color w:val="6E6158"/>
        </w:rPr>
        <w:t>years’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complex</w:t>
      </w:r>
      <w:r>
        <w:rPr>
          <w:color w:val="6E6158"/>
          <w:spacing w:val="28"/>
        </w:rPr>
        <w:t> </w:t>
      </w:r>
      <w:r>
        <w:rPr>
          <w:color w:val="6E6158"/>
        </w:rPr>
        <w:t>civil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jurisdictions</w:t>
      </w:r>
      <w:r>
        <w:rPr>
          <w:color w:val="6E6158"/>
          <w:spacing w:val="28"/>
        </w:rPr>
        <w:t> </w:t>
      </w:r>
      <w:r>
        <w:rPr>
          <w:color w:val="6E6158"/>
        </w:rPr>
        <w:t>across the country. Bob’s particular area of expertise is insurance coverage. Bob has represented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insureds and insurers in high-stakes disputes regarding coverage under Commercial General</w:t>
      </w:r>
      <w:r>
        <w:rPr>
          <w:color w:val="6E6158"/>
          <w:spacing w:val="40"/>
        </w:rPr>
        <w:t> </w:t>
      </w:r>
      <w:r>
        <w:rPr>
          <w:color w:val="6E6158"/>
        </w:rPr>
        <w:t>Liability policies, Errors &amp; Omissions policies, Directors &amp; Officers policies, and Umbrella and Excess</w:t>
      </w:r>
      <w:r>
        <w:rPr>
          <w:color w:val="6E6158"/>
          <w:spacing w:val="40"/>
        </w:rPr>
        <w:t> </w:t>
      </w:r>
      <w:r>
        <w:rPr>
          <w:color w:val="6E6158"/>
        </w:rPr>
        <w:t>policies, among others.</w:t>
      </w:r>
    </w:p>
    <w:p>
      <w:pPr>
        <w:pStyle w:val="BodyText"/>
        <w:spacing w:before="192"/>
        <w:ind w:left="104"/>
      </w:pPr>
      <w:r>
        <w:rPr>
          <w:color w:val="6E6158"/>
        </w:rPr>
        <w:t>When</w:t>
      </w:r>
      <w:r>
        <w:rPr>
          <w:color w:val="6E6158"/>
          <w:spacing w:val="9"/>
        </w:rPr>
        <w:t> </w:t>
      </w: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working,</w:t>
      </w:r>
      <w:r>
        <w:rPr>
          <w:color w:val="6E6158"/>
          <w:spacing w:val="10"/>
        </w:rPr>
        <w:t> </w:t>
      </w:r>
      <w:r>
        <w:rPr>
          <w:color w:val="6E6158"/>
        </w:rPr>
        <w:t>Bob</w:t>
      </w:r>
      <w:r>
        <w:rPr>
          <w:color w:val="6E6158"/>
          <w:spacing w:val="10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golfing</w:t>
      </w:r>
      <w:r>
        <w:rPr>
          <w:color w:val="6E6158"/>
          <w:spacing w:val="9"/>
        </w:rPr>
        <w:t> </w:t>
      </w:r>
      <w:r>
        <w:rPr>
          <w:color w:val="6E6158"/>
        </w:rPr>
        <w:t>or</w:t>
      </w:r>
      <w:r>
        <w:rPr>
          <w:color w:val="6E6158"/>
          <w:spacing w:val="10"/>
        </w:rPr>
        <w:t> </w:t>
      </w:r>
      <w:r>
        <w:rPr>
          <w:color w:val="6E6158"/>
        </w:rPr>
        <w:t>relaxing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beach.</w:t>
      </w:r>
    </w:p>
    <w:p>
      <w:pPr>
        <w:pStyle w:val="BodyText"/>
        <w:ind w:left="0"/>
      </w:pPr>
    </w:p>
    <w:p>
      <w:pPr>
        <w:pStyle w:val="BodyText"/>
        <w:spacing w:before="227"/>
        <w:ind w:left="0"/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5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278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416101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901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New York University School of </w:t>
      </w:r>
      <w:r>
        <w:rPr>
          <w:color w:val="6E6158"/>
        </w:rPr>
        <w:t>Law J.D., Rutgers School of Law-Camden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54506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1821pt;width:1.65pt;height:1.65pt;mso-position-horizontal-relative:page;mso-position-vertical-relative:paragraph;z-index:15730176" id="docshape15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-1"/>
        </w:rPr>
        <w:t> </w:t>
      </w:r>
      <w:r>
        <w:rPr>
          <w:color w:val="6E6158"/>
        </w:rPr>
        <w:t>Yale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9259pt;width:1.65pt;height:1.65pt;mso-position-horizontal-relative:page;mso-position-vertical-relative:paragraph;z-index:15730688" id="docshape16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317919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3009pt;width:1.65pt;height:1.65pt;mso-position-horizontal-relative:page;mso-position-vertical-relative:paragraph;z-index:15731200" id="docshape17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576284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76759pt;width:1.65pt;height:1.65pt;mso-position-horizontal-relative:page;mso-position-vertical-relative:paragraph;z-index:15731712" id="docshape18" coordorigin="1675,908" coordsize="33,33" path="m1696,940l1687,940,1683,938,1676,932,1675,928,1675,919,1676,915,1683,909,1687,908,1696,908,1699,909,1706,915,1707,919,1707,924,1707,928,1706,932,1699,938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Civil and Commercial </w:t>
      </w:r>
      <w:r>
        <w:rPr>
          <w:color w:val="6E6158"/>
        </w:rPr>
        <w:t>Litigation Insurance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Reinsurance</w:t>
      </w:r>
      <w:r>
        <w:rPr>
          <w:color w:val="6E6158"/>
          <w:spacing w:val="40"/>
        </w:rPr>
        <w:t> </w:t>
      </w:r>
      <w:r>
        <w:rPr>
          <w:color w:val="6E6158"/>
        </w:rPr>
        <w:t>Litigation Bad Faith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302" w:lineRule="auto" w:before="174"/>
        <w:ind w:right="5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2736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79pt;width:1.65pt;height:1.65pt;mso-position-horizontal-relative:page;mso-position-vertical-relative:paragraph;z-index:15733248" id="docshape21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and Toxic Tort </w:t>
      </w:r>
      <w:r>
        <w:rPr>
          <w:color w:val="6E6158"/>
        </w:rPr>
        <w:t>Litigation Business Litigation</w:t>
      </w:r>
    </w:p>
    <w:p>
      <w:pPr>
        <w:pStyle w:val="Heading1"/>
        <w:spacing w:before="27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152832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068pt;width:1.65pt;height:1.65pt;mso-position-horizontal-relative:page;mso-position-vertical-relative:paragraph;z-index:15733760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in New York Supreme Court on summary judgment for Swiss Reinsurance Co. dismissing claim by JP Morgan &amp; Co. for coverage of securities fraud settlement under $50</w:t>
      </w:r>
      <w:r>
        <w:rPr>
          <w:color w:val="6E6158"/>
          <w:spacing w:val="40"/>
        </w:rPr>
        <w:t> </w:t>
      </w:r>
      <w:r>
        <w:rPr>
          <w:color w:val="6E6158"/>
        </w:rPr>
        <w:t>million insurance policy. Successfully defended that ruling in both the Appellate Division, </w:t>
      </w:r>
      <w:r>
        <w:rPr>
          <w:color w:val="6E6158"/>
        </w:rPr>
        <w:t>First</w:t>
      </w:r>
      <w:r>
        <w:rPr>
          <w:color w:val="6E6158"/>
          <w:spacing w:val="40"/>
        </w:rPr>
        <w:t> </w:t>
      </w:r>
      <w:r>
        <w:rPr>
          <w:color w:val="6E6158"/>
        </w:rPr>
        <w:t>Department and Court of Appeals. </w:t>
      </w:r>
      <w:r>
        <w:rPr>
          <w:i/>
          <w:color w:val="6E6158"/>
          <w:sz w:val="20"/>
        </w:rPr>
        <w:t>JP Morgan Chase &amp; Co. v. Indian Harbor Ins. Co.</w:t>
      </w:r>
      <w:r>
        <w:rPr>
          <w:color w:val="6E6158"/>
        </w:rPr>
        <w:t>, et als, 930 N.Y.S.2d 175 (N.Y. Sup. 2011), aff’d, 947 N.Y.S.2d 17 (1st Dept. 2012).</w:t>
      </w:r>
    </w:p>
    <w:p>
      <w:pPr>
        <w:pStyle w:val="BodyText"/>
        <w:spacing w:line="288" w:lineRule="auto" w:before="118"/>
        <w:ind w:right="3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134598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8285pt;width:1.65pt;height:1.65pt;mso-position-horizontal-relative:page;mso-position-vertical-relative:paragraph;z-index:15734272" id="docshape23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in United States District Court, Southern District of New York on summary judgment</w:t>
      </w:r>
      <w:r>
        <w:rPr>
          <w:color w:val="6E6158"/>
          <w:spacing w:val="80"/>
        </w:rPr>
        <w:t> </w:t>
      </w:r>
      <w:r>
        <w:rPr>
          <w:color w:val="6E6158"/>
        </w:rPr>
        <w:t>for Zurich Insurance Co. dismissing claims by Larry Silverstein, lessor of World Trade Center 1</w:t>
      </w:r>
      <w:r>
        <w:rPr>
          <w:color w:val="6E6158"/>
          <w:spacing w:val="40"/>
        </w:rPr>
        <w:t> </w:t>
      </w:r>
      <w:r>
        <w:rPr>
          <w:color w:val="6E6158"/>
        </w:rPr>
        <w:t>and 2, for coverage of losses arising out of 9/11 attacks under $50 million insurance policy.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40"/>
          <w:sz w:val="20"/>
        </w:rPr>
        <w:t> </w:t>
      </w:r>
      <w:r>
        <w:rPr>
          <w:i/>
          <w:color w:val="6E6158"/>
          <w:sz w:val="20"/>
        </w:rPr>
        <w:t>Re September 11th Liab. Ins. Coverage Cases</w:t>
      </w:r>
      <w:r>
        <w:rPr>
          <w:color w:val="6E6158"/>
        </w:rPr>
        <w:t>, 458 F. Supp.2d 104 (S.D.N.Y. 2006).</w:t>
      </w:r>
    </w:p>
    <w:p>
      <w:pPr>
        <w:pStyle w:val="BodyText"/>
        <w:spacing w:line="295" w:lineRule="auto" w:before="122"/>
        <w:ind w:righ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137039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90508pt;width:1.65pt;height:1.65pt;mso-position-horizontal-relative:page;mso-position-vertical-relative:paragraph;z-index:15734784" id="docshape24" coordorigin="1675,216" coordsize="33,33" path="m1696,248l1687,248,1683,247,1676,240,1675,237,1675,228,1676,224,1683,217,1687,216,1696,216,1699,217,1706,224,1707,228,1707,232,1707,237,1706,240,1699,247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38"/>
        </w:rPr>
        <w:t> </w:t>
      </w:r>
      <w:r>
        <w:rPr>
          <w:color w:val="6E6158"/>
        </w:rPr>
        <w:t>Zurich</w:t>
      </w:r>
      <w:r>
        <w:rPr>
          <w:color w:val="6E6158"/>
          <w:spacing w:val="38"/>
        </w:rPr>
        <w:t> </w:t>
      </w:r>
      <w:r>
        <w:rPr>
          <w:color w:val="6E6158"/>
        </w:rPr>
        <w:t>Insurance</w:t>
      </w:r>
      <w:r>
        <w:rPr>
          <w:color w:val="6E6158"/>
          <w:spacing w:val="38"/>
        </w:rPr>
        <w:t> </w:t>
      </w:r>
      <w:r>
        <w:rPr>
          <w:color w:val="6E6158"/>
        </w:rPr>
        <w:t>Co.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declaratory</w:t>
      </w:r>
      <w:r>
        <w:rPr>
          <w:color w:val="6E6158"/>
          <w:spacing w:val="38"/>
        </w:rPr>
        <w:t> </w:t>
      </w:r>
      <w:r>
        <w:rPr>
          <w:color w:val="6E6158"/>
        </w:rPr>
        <w:t>judgment</w:t>
      </w:r>
      <w:r>
        <w:rPr>
          <w:color w:val="6E6158"/>
          <w:spacing w:val="38"/>
        </w:rPr>
        <w:t> </w:t>
      </w:r>
      <w:r>
        <w:rPr>
          <w:color w:val="6E6158"/>
        </w:rPr>
        <w:t>actions</w:t>
      </w:r>
      <w:r>
        <w:rPr>
          <w:color w:val="6E6158"/>
          <w:spacing w:val="38"/>
        </w:rPr>
        <w:t> </w:t>
      </w:r>
      <w:r>
        <w:rPr>
          <w:color w:val="6E6158"/>
        </w:rPr>
        <w:t>simultaneously</w:t>
      </w:r>
      <w:r>
        <w:rPr>
          <w:color w:val="6E6158"/>
          <w:spacing w:val="38"/>
        </w:rPr>
        <w:t> </w:t>
      </w:r>
      <w:r>
        <w:rPr>
          <w:color w:val="6E6158"/>
        </w:rPr>
        <w:t>filed</w:t>
      </w:r>
      <w:r>
        <w:rPr>
          <w:color w:val="6E6158"/>
          <w:spacing w:val="38"/>
        </w:rPr>
        <w:t> </w:t>
      </w:r>
      <w:r>
        <w:rPr>
          <w:color w:val="6E6158"/>
        </w:rPr>
        <w:t>by Intel</w:t>
      </w:r>
      <w:r>
        <w:rPr>
          <w:color w:val="6E6158"/>
          <w:spacing w:val="13"/>
        </w:rPr>
        <w:t> </w:t>
      </w:r>
      <w:r>
        <w:rPr>
          <w:color w:val="6E6158"/>
        </w:rPr>
        <w:t>Corp.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Zurich in Delaware Superior Court. At issue was Intel’s claim for coverage of $500 million in costs</w:t>
      </w:r>
      <w:r>
        <w:rPr>
          <w:color w:val="6E6158"/>
          <w:spacing w:val="40"/>
        </w:rPr>
        <w:t> </w:t>
      </w:r>
      <w:r>
        <w:rPr>
          <w:color w:val="6E6158"/>
        </w:rPr>
        <w:t>incurred</w:t>
      </w:r>
      <w:r>
        <w:rPr>
          <w:color w:val="6E6158"/>
          <w:spacing w:val="29"/>
        </w:rPr>
        <w:t> </w:t>
      </w:r>
      <w:r>
        <w:rPr>
          <w:color w:val="6E6158"/>
        </w:rPr>
        <w:t>by</w:t>
      </w:r>
      <w:r>
        <w:rPr>
          <w:color w:val="6E6158"/>
          <w:spacing w:val="29"/>
        </w:rPr>
        <w:t> </w:t>
      </w:r>
      <w:r>
        <w:rPr>
          <w:color w:val="6E6158"/>
        </w:rPr>
        <w:t>Intel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defending</w:t>
      </w:r>
      <w:r>
        <w:rPr>
          <w:color w:val="6E6158"/>
          <w:spacing w:val="29"/>
        </w:rPr>
        <w:t> </w:t>
      </w:r>
      <w:r>
        <w:rPr>
          <w:color w:val="6E6158"/>
        </w:rPr>
        <w:t>against</w:t>
      </w:r>
      <w:r>
        <w:rPr>
          <w:color w:val="6E6158"/>
          <w:spacing w:val="29"/>
        </w:rPr>
        <w:t> </w:t>
      </w:r>
      <w:r>
        <w:rPr>
          <w:color w:val="6E6158"/>
        </w:rPr>
        <w:t>multiple</w:t>
      </w:r>
      <w:r>
        <w:rPr>
          <w:color w:val="6E6158"/>
          <w:spacing w:val="29"/>
        </w:rPr>
        <w:t> </w:t>
      </w:r>
      <w:r>
        <w:rPr>
          <w:color w:val="6E6158"/>
        </w:rPr>
        <w:t>antitrust</w:t>
      </w:r>
      <w:r>
        <w:rPr>
          <w:color w:val="6E6158"/>
          <w:spacing w:val="29"/>
        </w:rPr>
        <w:t> </w:t>
      </w:r>
      <w:r>
        <w:rPr>
          <w:color w:val="6E6158"/>
        </w:rPr>
        <w:t>actions</w:t>
      </w:r>
      <w:r>
        <w:rPr>
          <w:color w:val="6E6158"/>
          <w:spacing w:val="29"/>
        </w:rPr>
        <w:t> </w:t>
      </w:r>
      <w:r>
        <w:rPr>
          <w:color w:val="6E6158"/>
        </w:rPr>
        <w:t>filed</w:t>
      </w:r>
      <w:r>
        <w:rPr>
          <w:color w:val="6E6158"/>
          <w:spacing w:val="29"/>
        </w:rPr>
        <w:t> </w:t>
      </w:r>
      <w:r>
        <w:rPr>
          <w:color w:val="6E6158"/>
        </w:rPr>
        <w:t>by</w:t>
      </w:r>
      <w:r>
        <w:rPr>
          <w:color w:val="6E6158"/>
          <w:spacing w:val="29"/>
        </w:rPr>
        <w:t> </w:t>
      </w:r>
      <w:r>
        <w:rPr>
          <w:color w:val="6E6158"/>
        </w:rPr>
        <w:t>its</w:t>
      </w:r>
      <w:r>
        <w:rPr>
          <w:color w:val="6E6158"/>
          <w:spacing w:val="29"/>
        </w:rPr>
        <w:t> </w:t>
      </w:r>
      <w:r>
        <w:rPr>
          <w:color w:val="6E6158"/>
        </w:rPr>
        <w:t>competitor</w:t>
      </w:r>
      <w:r>
        <w:rPr>
          <w:color w:val="6E6158"/>
          <w:spacing w:val="29"/>
        </w:rPr>
        <w:t> </w:t>
      </w:r>
      <w:r>
        <w:rPr>
          <w:color w:val="6E6158"/>
        </w:rPr>
        <w:t>AMD 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European</w:t>
      </w:r>
      <w:r>
        <w:rPr>
          <w:color w:val="6E6158"/>
          <w:spacing w:val="31"/>
        </w:rPr>
        <w:t> </w:t>
      </w:r>
      <w:r>
        <w:rPr>
          <w:color w:val="6E6158"/>
        </w:rPr>
        <w:t>Union</w:t>
      </w:r>
      <w:r>
        <w:rPr>
          <w:color w:val="6E6158"/>
          <w:spacing w:val="31"/>
        </w:rPr>
        <w:t> </w:t>
      </w:r>
      <w:r>
        <w:rPr>
          <w:color w:val="6E6158"/>
        </w:rPr>
        <w:t>claiming</w:t>
      </w:r>
      <w:r>
        <w:rPr>
          <w:color w:val="6E6158"/>
          <w:spacing w:val="31"/>
        </w:rPr>
        <w:t> </w:t>
      </w:r>
      <w:r>
        <w:rPr>
          <w:color w:val="6E6158"/>
        </w:rPr>
        <w:t>anticompetitive</w:t>
      </w:r>
      <w:r>
        <w:rPr>
          <w:color w:val="6E6158"/>
          <w:spacing w:val="31"/>
        </w:rPr>
        <w:t> </w:t>
      </w:r>
      <w:r>
        <w:rPr>
          <w:color w:val="6E6158"/>
        </w:rPr>
        <w:t>conduct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sale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Intel’s</w:t>
      </w:r>
      <w:r>
        <w:rPr>
          <w:color w:val="6E6158"/>
          <w:spacing w:val="31"/>
        </w:rPr>
        <w:t> </w:t>
      </w:r>
      <w:r>
        <w:rPr>
          <w:color w:val="6E6158"/>
        </w:rPr>
        <w:t>Pentium</w:t>
      </w:r>
    </w:p>
    <w:p>
      <w:pPr>
        <w:pStyle w:val="BodyText"/>
        <w:spacing w:line="288" w:lineRule="auto" w:before="8"/>
        <w:ind w:right="294"/>
      </w:pPr>
      <w:r>
        <w:rPr>
          <w:color w:val="6E6158"/>
        </w:rPr>
        <w:t>product. Prevailed on summary judgment in both actions, with the courts declaring that Intel</w:t>
      </w:r>
      <w:r>
        <w:rPr>
          <w:color w:val="6E6158"/>
          <w:spacing w:val="40"/>
        </w:rPr>
        <w:t> </w:t>
      </w:r>
      <w:r>
        <w:rPr>
          <w:color w:val="6E6158"/>
        </w:rPr>
        <w:t>was not entitled to coverage under a $50 million Zurich policy. Successfully defended the</w:t>
      </w:r>
      <w:r>
        <w:rPr>
          <w:color w:val="6E6158"/>
          <w:spacing w:val="40"/>
        </w:rPr>
        <w:t> </w:t>
      </w:r>
      <w:r>
        <w:rPr>
          <w:color w:val="6E6158"/>
        </w:rPr>
        <w:t>Delaware court’s ruling in the Delaware Supreme Court, after which Intel dismissed its </w:t>
      </w:r>
      <w:r>
        <w:rPr>
          <w:color w:val="6E6158"/>
        </w:rPr>
        <w:t>appeal</w:t>
      </w:r>
      <w:r>
        <w:rPr>
          <w:color w:val="6E6158"/>
          <w:spacing w:val="80"/>
        </w:rPr>
        <w:t> </w:t>
      </w:r>
      <w:r>
        <w:rPr>
          <w:color w:val="6E6158"/>
        </w:rPr>
        <w:t>of the California court’s ruling in the Ninth Circuit Court of Appeals. </w:t>
      </w:r>
      <w:r>
        <w:rPr>
          <w:i/>
          <w:color w:val="6E6158"/>
          <w:sz w:val="20"/>
        </w:rPr>
        <w:t>American Guarantee &amp;</w:t>
      </w:r>
      <w:r>
        <w:rPr>
          <w:i/>
          <w:color w:val="6E6158"/>
          <w:sz w:val="20"/>
        </w:rPr>
        <w:t> Liability Ins. Co. v. Intel Corp.</w:t>
      </w:r>
      <w:r>
        <w:rPr>
          <w:color w:val="6E6158"/>
        </w:rPr>
        <w:t>, 2010 WL 8590881 (Del. Super. 2010), aff’d, 51 A.3d 442 (Del.</w:t>
      </w:r>
    </w:p>
    <w:p>
      <w:pPr>
        <w:spacing w:line="288" w:lineRule="auto" w:before="0"/>
        <w:ind w:left="356" w:right="294" w:firstLine="0"/>
        <w:jc w:val="left"/>
        <w:rPr>
          <w:sz w:val="19"/>
        </w:rPr>
      </w:pPr>
      <w:r>
        <w:rPr>
          <w:color w:val="6E6158"/>
          <w:sz w:val="19"/>
        </w:rPr>
        <w:t>2012);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Intel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Guarantee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Liability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U.S.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Dist.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139903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(N.D. Cal. 2010).</w:t>
      </w:r>
    </w:p>
    <w:p>
      <w:pPr>
        <w:pStyle w:val="BodyText"/>
        <w:spacing w:line="295" w:lineRule="auto" w:before="123"/>
        <w:ind w:right="38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137423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0709pt;width:1.65pt;height:1.65pt;mso-position-horizontal-relative:page;mso-position-vertical-relative:paragraph;z-index:15735296" id="docshape25" coordorigin="1675,216" coordsize="33,33" path="m1696,249l1687,249,1683,247,1676,241,1675,237,1675,228,1676,224,1683,218,1687,216,1696,216,1699,218,1706,224,1707,228,1707,233,1707,237,1706,241,1699,247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in New York Supreme Court on summary judgment for Zurich Insurance Company dismissing claims by Sony Corp. for coverage of costs associated with class actions in</w:t>
      </w:r>
      <w:r>
        <w:rPr>
          <w:color w:val="6E6158"/>
          <w:spacing w:val="40"/>
        </w:rPr>
        <w:t> </w:t>
      </w:r>
      <w:r>
        <w:rPr>
          <w:color w:val="6E6158"/>
        </w:rPr>
        <w:t>California state and federal court alleging that consumers were damaged by the release of</w:t>
      </w:r>
      <w:r>
        <w:rPr>
          <w:color w:val="6E6158"/>
          <w:spacing w:val="40"/>
        </w:rPr>
        <w:t> </w:t>
      </w:r>
      <w:r>
        <w:rPr>
          <w:color w:val="6E6158"/>
        </w:rPr>
        <w:t>personal information when hackers penetrated the Sony PlayStation network. Among the</w:t>
      </w:r>
      <w:r>
        <w:rPr>
          <w:color w:val="6E6158"/>
          <w:spacing w:val="40"/>
        </w:rPr>
        <w:t> </w:t>
      </w:r>
      <w:r>
        <w:rPr>
          <w:color w:val="6E6158"/>
        </w:rPr>
        <w:t>issues was whether such costs were covered under general liability policies where Sony had</w:t>
      </w:r>
      <w:r>
        <w:rPr>
          <w:color w:val="6E6158"/>
          <w:spacing w:val="40"/>
        </w:rPr>
        <w:t> </w:t>
      </w:r>
      <w:r>
        <w:rPr>
          <w:color w:val="6E6158"/>
        </w:rPr>
        <w:t>purchased “cyber insurance” policies that specifically covered data breach exposures. The</w:t>
      </w:r>
      <w:r>
        <w:rPr>
          <w:color w:val="6E6158"/>
          <w:spacing w:val="40"/>
        </w:rPr>
        <w:t> </w:t>
      </w:r>
      <w:r>
        <w:rPr>
          <w:color w:val="6E6158"/>
        </w:rPr>
        <w:t>court declared that the general liability insurance policies issued by Zurich and other </w:t>
      </w:r>
      <w:r>
        <w:rPr>
          <w:color w:val="6E6158"/>
        </w:rPr>
        <w:t>insurers</w:t>
      </w:r>
      <w:r>
        <w:rPr>
          <w:color w:val="6E6158"/>
          <w:spacing w:val="40"/>
        </w:rPr>
        <w:t> </w:t>
      </w:r>
      <w:r>
        <w:rPr>
          <w:color w:val="6E6158"/>
        </w:rPr>
        <w:t>did not provide coverage for the data breach. This significant ruling was the first decision</w:t>
      </w:r>
      <w:r>
        <w:rPr>
          <w:color w:val="6E6158"/>
          <w:spacing w:val="40"/>
        </w:rPr>
        <w:t> </w:t>
      </w:r>
      <w:r>
        <w:rPr>
          <w:color w:val="6E6158"/>
        </w:rPr>
        <w:t>directly addressing insurance coverage for data breaches such as Sony’s. </w:t>
      </w:r>
      <w:r>
        <w:rPr>
          <w:i/>
          <w:color w:val="6E6158"/>
          <w:sz w:val="20"/>
        </w:rPr>
        <w:t>Zurich American</w:t>
      </w:r>
    </w:p>
    <w:p>
      <w:pPr>
        <w:spacing w:line="229" w:lineRule="exact" w:before="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Ins.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Sony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color w:val="6E6158"/>
          <w:sz w:val="19"/>
        </w:rPr>
        <w:t>, No.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651982-2011 (N.Y.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Supreme </w:t>
      </w:r>
      <w:r>
        <w:rPr>
          <w:color w:val="6E6158"/>
          <w:spacing w:val="-2"/>
          <w:sz w:val="19"/>
        </w:rPr>
        <w:t>2014).</w:t>
      </w:r>
    </w:p>
    <w:p>
      <w:pPr>
        <w:pStyle w:val="BodyText"/>
        <w:spacing w:line="295" w:lineRule="auto" w:before="171"/>
        <w:ind w:right="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168359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645pt;width:1.65pt;height:1.65pt;mso-position-horizontal-relative:page;mso-position-vertical-relative:paragraph;z-index:15735808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New Jersey Manufacturers Insurance Company in defense of claim that </w:t>
      </w:r>
      <w:r>
        <w:rPr>
          <w:color w:val="6E6158"/>
        </w:rPr>
        <w:t>ReMax</w:t>
      </w:r>
      <w:r>
        <w:rPr>
          <w:color w:val="6E6158"/>
          <w:spacing w:val="40"/>
        </w:rPr>
        <w:t> </w:t>
      </w:r>
      <w:r>
        <w:rPr>
          <w:color w:val="6E6158"/>
        </w:rPr>
        <w:t>real estate brokers were “independent contractors” and not “employees” for purposes of</w:t>
      </w:r>
      <w:r>
        <w:rPr>
          <w:color w:val="6E6158"/>
          <w:spacing w:val="40"/>
        </w:rPr>
        <w:t> </w:t>
      </w:r>
      <w:r>
        <w:rPr>
          <w:color w:val="6E6158"/>
        </w:rPr>
        <w:t>calculating ReMax’s premium for workers compensation insurance. This claim posed a multi-</w:t>
      </w:r>
      <w:r>
        <w:rPr>
          <w:color w:val="6E6158"/>
          <w:spacing w:val="40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dollar</w:t>
      </w:r>
      <w:r>
        <w:rPr>
          <w:color w:val="6E6158"/>
          <w:spacing w:val="25"/>
        </w:rPr>
        <w:t> </w:t>
      </w:r>
      <w:r>
        <w:rPr>
          <w:color w:val="6E6158"/>
        </w:rPr>
        <w:t>exposure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workers</w:t>
      </w:r>
      <w:r>
        <w:rPr>
          <w:color w:val="6E6158"/>
          <w:spacing w:val="25"/>
        </w:rPr>
        <w:t> </w:t>
      </w:r>
      <w:r>
        <w:rPr>
          <w:color w:val="6E6158"/>
        </w:rPr>
        <w:t>compensation</w:t>
      </w:r>
      <w:r>
        <w:rPr>
          <w:color w:val="6E6158"/>
          <w:spacing w:val="25"/>
        </w:rPr>
        <w:t> </w:t>
      </w:r>
      <w:r>
        <w:rPr>
          <w:color w:val="6E6158"/>
        </w:rPr>
        <w:t>insurers</w:t>
      </w:r>
      <w:r>
        <w:rPr>
          <w:color w:val="6E6158"/>
          <w:spacing w:val="25"/>
        </w:rPr>
        <w:t> </w:t>
      </w:r>
      <w:r>
        <w:rPr>
          <w:color w:val="6E6158"/>
        </w:rPr>
        <w:t>because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outcome</w:t>
      </w:r>
      <w:r>
        <w:rPr>
          <w:color w:val="6E6158"/>
          <w:spacing w:val="25"/>
        </w:rPr>
        <w:t> </w:t>
      </w:r>
      <w:r>
        <w:rPr>
          <w:color w:val="6E6158"/>
        </w:rPr>
        <w:t>would</w:t>
      </w:r>
      <w:r>
        <w:rPr>
          <w:color w:val="6E6158"/>
          <w:spacing w:val="25"/>
        </w:rPr>
        <w:t> </w:t>
      </w:r>
      <w:r>
        <w:rPr>
          <w:color w:val="6E6158"/>
        </w:rPr>
        <w:t>apply to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businesses</w:t>
      </w:r>
      <w:r>
        <w:rPr>
          <w:color w:val="6E6158"/>
          <w:spacing w:val="40"/>
        </w:rPr>
        <w:t> </w:t>
      </w:r>
      <w:r>
        <w:rPr>
          <w:color w:val="6E6158"/>
        </w:rPr>
        <w:t>employing</w:t>
      </w:r>
      <w:r>
        <w:rPr>
          <w:color w:val="6E6158"/>
          <w:spacing w:val="40"/>
        </w:rPr>
        <w:t> </w:t>
      </w:r>
      <w:r>
        <w:rPr>
          <w:color w:val="6E6158"/>
        </w:rPr>
        <w:t>similar</w:t>
      </w:r>
      <w:r>
        <w:rPr>
          <w:color w:val="6E6158"/>
          <w:spacing w:val="40"/>
        </w:rPr>
        <w:t> </w:t>
      </w:r>
      <w:r>
        <w:rPr>
          <w:color w:val="6E6158"/>
        </w:rPr>
        <w:t>“independent”</w:t>
      </w:r>
      <w:r>
        <w:rPr>
          <w:color w:val="6E6158"/>
          <w:spacing w:val="40"/>
        </w:rPr>
        <w:t> </w:t>
      </w:r>
      <w:r>
        <w:rPr>
          <w:color w:val="6E6158"/>
        </w:rPr>
        <w:t>contractors.</w:t>
      </w:r>
      <w:r>
        <w:rPr>
          <w:color w:val="6E6158"/>
          <w:spacing w:val="40"/>
        </w:rPr>
        <w:t> </w:t>
      </w:r>
      <w:r>
        <w:rPr>
          <w:color w:val="6E6158"/>
        </w:rPr>
        <w:t>Prevailed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summary</w:t>
      </w:r>
    </w:p>
    <w:p>
      <w:pPr>
        <w:pStyle w:val="BodyText"/>
        <w:spacing w:line="232" w:lineRule="exact"/>
      </w:pPr>
      <w:r>
        <w:rPr>
          <w:color w:val="6E6158"/>
        </w:rPr>
        <w:t>judgment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favor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NJM,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Jersey</w:t>
      </w:r>
      <w:r>
        <w:rPr>
          <w:color w:val="6E6158"/>
          <w:spacing w:val="10"/>
        </w:rPr>
        <w:t> </w:t>
      </w:r>
      <w:r>
        <w:rPr>
          <w:color w:val="6E6158"/>
        </w:rPr>
        <w:t>Superior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ruling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brokers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were</w:t>
      </w:r>
    </w:p>
    <w:p>
      <w:pPr>
        <w:spacing w:line="283" w:lineRule="auto" w:before="60"/>
        <w:ind w:left="356" w:right="0" w:firstLine="0"/>
        <w:jc w:val="left"/>
        <w:rPr>
          <w:sz w:val="19"/>
        </w:rPr>
      </w:pPr>
      <w:r>
        <w:rPr>
          <w:color w:val="6E6158"/>
          <w:sz w:val="19"/>
        </w:rPr>
        <w:t>“employees” for purposes of calculating the premium, and prevailed as well in the </w:t>
      </w:r>
      <w:r>
        <w:rPr>
          <w:color w:val="6E6158"/>
          <w:sz w:val="19"/>
        </w:rPr>
        <w:t>Appellate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Division and New Jersey Supreme Court. </w:t>
      </w:r>
      <w:r>
        <w:rPr>
          <w:i/>
          <w:color w:val="6E6158"/>
          <w:sz w:val="20"/>
        </w:rPr>
        <w:t>Re/Max of New Jersey v. Wausau Ins. Co.</w:t>
      </w:r>
      <w:r>
        <w:rPr>
          <w:color w:val="6E6158"/>
          <w:sz w:val="19"/>
        </w:rPr>
        <w:t>, 162 N.J.</w:t>
      </w:r>
    </w:p>
    <w:p>
      <w:pPr>
        <w:pStyle w:val="BodyText"/>
        <w:spacing w:before="6"/>
      </w:pPr>
      <w:r>
        <w:rPr>
          <w:color w:val="6E6158"/>
        </w:rPr>
        <w:t>282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(2000).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637pt;width:1.65pt;height:1.65pt;mso-position-horizontal-relative:page;mso-position-vertical-relative:paragraph;z-index:15736320" id="docshape2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law firm in dispute with a departed partner over division of a contingent fee</w:t>
      </w:r>
      <w:r>
        <w:rPr>
          <w:color w:val="6E6158"/>
          <w:spacing w:val="40"/>
        </w:rPr>
        <w:t> </w:t>
      </w:r>
      <w:r>
        <w:rPr>
          <w:color w:val="6E6158"/>
        </w:rPr>
        <w:t>earned in a significant medical malpractice matter. Successfully obtained ruling by the </w:t>
      </w:r>
      <w:r>
        <w:rPr>
          <w:color w:val="6E6158"/>
        </w:rPr>
        <w:t>New Jersey</w:t>
      </w:r>
      <w:r>
        <w:rPr>
          <w:color w:val="6E6158"/>
          <w:spacing w:val="32"/>
        </w:rPr>
        <w:t> </w:t>
      </w:r>
      <w:r>
        <w:rPr>
          <w:color w:val="6E6158"/>
        </w:rPr>
        <w:t>Superior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  <w:r>
        <w:rPr>
          <w:color w:val="6E6158"/>
          <w:spacing w:val="32"/>
        </w:rPr>
        <w:t> </w:t>
      </w:r>
      <w:r>
        <w:rPr>
          <w:color w:val="6E6158"/>
        </w:rPr>
        <w:t>that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departed</w:t>
      </w:r>
      <w:r>
        <w:rPr>
          <w:color w:val="6E6158"/>
          <w:spacing w:val="32"/>
        </w:rPr>
        <w:t> </w:t>
      </w:r>
      <w:r>
        <w:rPr>
          <w:color w:val="6E6158"/>
        </w:rPr>
        <w:t>partner</w:t>
      </w:r>
      <w:r>
        <w:rPr>
          <w:color w:val="6E6158"/>
          <w:spacing w:val="32"/>
        </w:rPr>
        <w:t> </w:t>
      </w:r>
      <w:r>
        <w:rPr>
          <w:color w:val="6E6158"/>
        </w:rPr>
        <w:t>was</w:t>
      </w:r>
      <w:r>
        <w:rPr>
          <w:color w:val="6E6158"/>
          <w:spacing w:val="32"/>
        </w:rPr>
        <w:t> </w:t>
      </w:r>
      <w:r>
        <w:rPr>
          <w:color w:val="6E6158"/>
        </w:rPr>
        <w:t>entitled</w:t>
      </w:r>
      <w:r>
        <w:rPr>
          <w:color w:val="6E6158"/>
          <w:spacing w:val="32"/>
        </w:rPr>
        <w:t> </w:t>
      </w:r>
      <w:r>
        <w:rPr>
          <w:color w:val="6E6158"/>
        </w:rPr>
        <w:t>only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compensation</w:t>
      </w:r>
      <w:r>
        <w:rPr>
          <w:color w:val="6E6158"/>
          <w:spacing w:val="32"/>
        </w:rPr>
        <w:t> </w:t>
      </w:r>
      <w:r>
        <w:rPr>
          <w:color w:val="6E6158"/>
        </w:rPr>
        <w:t>based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94"/>
      </w:pPr>
      <w:r>
        <w:rPr>
          <w:color w:val="6E6158"/>
        </w:rPr>
        <w:t>upon hours worked prior to departure, rather than a percentage of the contingent fee, and</w:t>
      </w:r>
      <w:r>
        <w:rPr>
          <w:color w:val="6E6158"/>
          <w:spacing w:val="40"/>
        </w:rPr>
        <w:t> </w:t>
      </w:r>
      <w:r>
        <w:rPr>
          <w:color w:val="6E6158"/>
        </w:rPr>
        <w:t>prevailed as well on appeal. The case established new law in New Jersey governing the</w:t>
      </w:r>
      <w:r>
        <w:rPr>
          <w:color w:val="6E6158"/>
          <w:spacing w:val="40"/>
        </w:rPr>
        <w:t> </w:t>
      </w:r>
      <w:r>
        <w:rPr>
          <w:color w:val="6E6158"/>
        </w:rPr>
        <w:t>division of fees in such disputes, and has been cited in other jurisdictions dealing with fee</w:t>
      </w:r>
      <w:r>
        <w:rPr>
          <w:color w:val="6E6158"/>
          <w:spacing w:val="40"/>
        </w:rPr>
        <w:t> </w:t>
      </w:r>
      <w:r>
        <w:rPr>
          <w:color w:val="6E6158"/>
        </w:rPr>
        <w:t>allocation issues. </w:t>
      </w:r>
      <w:r>
        <w:rPr>
          <w:i/>
          <w:color w:val="6E6158"/>
          <w:sz w:val="20"/>
        </w:rPr>
        <w:t>LaMantia v. Durst</w:t>
      </w:r>
      <w:r>
        <w:rPr>
          <w:color w:val="6E6158"/>
        </w:rPr>
        <w:t>, 234 N.J. Super. 534 (App. Div. 1989).</w:t>
      </w:r>
    </w:p>
    <w:p>
      <w:pPr>
        <w:pStyle w:val="BodyText"/>
        <w:spacing w:line="295" w:lineRule="auto" w:before="118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134453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6881pt;width:1.65pt;height:1.65pt;mso-position-horizontal-relative:page;mso-position-vertical-relative:paragraph;z-index:15736832" id="docshape28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accounting firm in malpractice action involving claims that defendants violated</w:t>
      </w:r>
      <w:r>
        <w:rPr>
          <w:color w:val="6E6158"/>
          <w:spacing w:val="40"/>
        </w:rPr>
        <w:t> </w:t>
      </w:r>
      <w:r>
        <w:rPr>
          <w:color w:val="6E6158"/>
        </w:rPr>
        <w:t>federal securities laws. Successfully obtained summary judgment in favor of defendant on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grounds that the sale of 50% of the stock of the company at issue was a “sale of business”</w:t>
      </w:r>
      <w:r>
        <w:rPr>
          <w:color w:val="6E6158"/>
          <w:spacing w:val="80"/>
        </w:rPr>
        <w:t> </w:t>
      </w:r>
      <w:r>
        <w:rPr>
          <w:color w:val="6E6158"/>
        </w:rPr>
        <w:t>rather</w:t>
      </w:r>
      <w:r>
        <w:rPr>
          <w:color w:val="6E6158"/>
          <w:spacing w:val="24"/>
        </w:rPr>
        <w:t> </w:t>
      </w:r>
      <w:r>
        <w:rPr>
          <w:color w:val="6E6158"/>
        </w:rPr>
        <w:t>than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sale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“security”</w:t>
      </w:r>
      <w:r>
        <w:rPr>
          <w:color w:val="6E6158"/>
          <w:spacing w:val="24"/>
        </w:rPr>
        <w:t> </w:t>
      </w:r>
      <w:r>
        <w:rPr>
          <w:color w:val="6E6158"/>
        </w:rPr>
        <w:t>under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law.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Third</w:t>
      </w:r>
      <w:r>
        <w:rPr>
          <w:color w:val="6E6158"/>
          <w:spacing w:val="24"/>
        </w:rPr>
        <w:t> </w:t>
      </w:r>
      <w:r>
        <w:rPr>
          <w:color w:val="6E6158"/>
        </w:rPr>
        <w:t>Circuit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Appeals</w:t>
      </w:r>
    </w:p>
    <w:p>
      <w:pPr>
        <w:pStyle w:val="BodyText"/>
        <w:spacing w:line="292" w:lineRule="auto" w:before="1"/>
        <w:ind w:right="294"/>
      </w:pPr>
      <w:r>
        <w:rPr>
          <w:color w:val="6E6158"/>
        </w:rPr>
        <w:t>reversed, rejecting the “sale of business” doctrine, and the United States Supreme Court</w:t>
      </w:r>
      <w:r>
        <w:rPr>
          <w:color w:val="6E6158"/>
          <w:spacing w:val="40"/>
        </w:rPr>
        <w:t> </w:t>
      </w:r>
      <w:r>
        <w:rPr>
          <w:color w:val="6E6158"/>
        </w:rPr>
        <w:t>granted certiorari to resolve a dispute between circuits on the issue. The Court affirmed the</w:t>
      </w:r>
      <w:r>
        <w:rPr>
          <w:color w:val="6E6158"/>
          <w:spacing w:val="40"/>
        </w:rPr>
        <w:t> </w:t>
      </w:r>
      <w:r>
        <w:rPr>
          <w:color w:val="6E6158"/>
        </w:rPr>
        <w:t>Third Circuit, holding that the stock constituted a “security” even if it effectively constituted a</w:t>
      </w:r>
      <w:r>
        <w:rPr>
          <w:color w:val="6E6158"/>
          <w:spacing w:val="40"/>
        </w:rPr>
        <w:t> </w:t>
      </w:r>
      <w:r>
        <w:rPr>
          <w:color w:val="6E6158"/>
        </w:rPr>
        <w:t>“sale of the business.” </w:t>
      </w:r>
      <w:r>
        <w:rPr>
          <w:i/>
          <w:color w:val="6E6158"/>
          <w:sz w:val="20"/>
        </w:rPr>
        <w:t>Gould v. Ruefenacht</w:t>
      </w:r>
      <w:r>
        <w:rPr>
          <w:color w:val="6E6158"/>
        </w:rPr>
        <w:t>, 737 F.2d 320 (3d Cir.), aff’d, 471 U.S. 701 (1985).</w:t>
      </w:r>
    </w:p>
    <w:p>
      <w:pPr>
        <w:pStyle w:val="BodyText"/>
        <w:spacing w:line="292" w:lineRule="auto" w:before="118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134408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3336pt;width:1.65pt;height:1.65pt;mso-position-horizontal-relative:page;mso-position-vertical-relative:paragraph;z-index:15737344" id="docshape29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Red Bank Board of Education in suit filed in United States District Court for the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New</w:t>
      </w:r>
      <w:r>
        <w:rPr>
          <w:color w:val="6E6158"/>
          <w:spacing w:val="28"/>
        </w:rPr>
        <w:t> </w:t>
      </w:r>
      <w:r>
        <w:rPr>
          <w:color w:val="6E6158"/>
        </w:rPr>
        <w:t>Jersey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teacher</w:t>
      </w:r>
      <w:r>
        <w:rPr>
          <w:color w:val="6E6158"/>
          <w:spacing w:val="28"/>
        </w:rPr>
        <w:t> </w:t>
      </w:r>
      <w:r>
        <w:rPr>
          <w:color w:val="6E6158"/>
        </w:rPr>
        <w:t>claiming</w:t>
      </w:r>
      <w:r>
        <w:rPr>
          <w:color w:val="6E6158"/>
          <w:spacing w:val="28"/>
        </w:rPr>
        <w:t> </w:t>
      </w:r>
      <w:r>
        <w:rPr>
          <w:color w:val="6E6158"/>
        </w:rPr>
        <w:t>that</w:t>
      </w:r>
      <w:r>
        <w:rPr>
          <w:color w:val="6E6158"/>
          <w:spacing w:val="28"/>
        </w:rPr>
        <w:t> </w:t>
      </w:r>
      <w:r>
        <w:rPr>
          <w:color w:val="6E6158"/>
        </w:rPr>
        <w:t>tenure</w:t>
      </w:r>
      <w:r>
        <w:rPr>
          <w:color w:val="6E6158"/>
          <w:spacing w:val="28"/>
        </w:rPr>
        <w:t> </w:t>
      </w:r>
      <w:r>
        <w:rPr>
          <w:color w:val="6E6158"/>
        </w:rPr>
        <w:t>charges</w:t>
      </w:r>
      <w:r>
        <w:rPr>
          <w:color w:val="6E6158"/>
          <w:spacing w:val="28"/>
        </w:rPr>
        <w:t> </w:t>
      </w:r>
      <w:r>
        <w:rPr>
          <w:color w:val="6E6158"/>
        </w:rPr>
        <w:t>based</w:t>
      </w:r>
      <w:r>
        <w:rPr>
          <w:color w:val="6E6158"/>
          <w:spacing w:val="28"/>
        </w:rPr>
        <w:t> </w:t>
      </w:r>
      <w:r>
        <w:rPr>
          <w:color w:val="6E6158"/>
        </w:rPr>
        <w:t>upon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</w:p>
    <w:p>
      <w:pPr>
        <w:pStyle w:val="BodyText"/>
        <w:spacing w:line="295" w:lineRule="auto" w:before="9"/>
        <w:ind w:right="294"/>
      </w:pPr>
      <w:r>
        <w:rPr>
          <w:color w:val="6E6158"/>
        </w:rPr>
        <w:t>statements at a Board meeting constituted a violation of her First and Fourteenth </w:t>
      </w:r>
      <w:r>
        <w:rPr>
          <w:color w:val="6E6158"/>
        </w:rPr>
        <w:t>Amendment</w:t>
      </w:r>
      <w:r>
        <w:rPr>
          <w:color w:val="6E6158"/>
          <w:spacing w:val="40"/>
        </w:rPr>
        <w:t> </w:t>
      </w:r>
      <w:r>
        <w:rPr>
          <w:color w:val="6E6158"/>
        </w:rPr>
        <w:t>rights.</w:t>
      </w:r>
      <w:r>
        <w:rPr>
          <w:color w:val="6E6158"/>
          <w:spacing w:val="23"/>
        </w:rPr>
        <w:t> </w:t>
      </w:r>
      <w:r>
        <w:rPr>
          <w:color w:val="6E6158"/>
        </w:rPr>
        <w:t>Prevailed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District</w:t>
      </w:r>
      <w:r>
        <w:rPr>
          <w:color w:val="6E6158"/>
          <w:spacing w:val="23"/>
        </w:rPr>
        <w:t> </w:t>
      </w:r>
      <w:r>
        <w:rPr>
          <w:color w:val="6E6158"/>
        </w:rPr>
        <w:t>Court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Dismiss,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District</w:t>
      </w:r>
      <w:r>
        <w:rPr>
          <w:color w:val="6E6158"/>
          <w:spacing w:val="23"/>
        </w:rPr>
        <w:t> </w:t>
      </w:r>
      <w:r>
        <w:rPr>
          <w:color w:val="6E6158"/>
        </w:rPr>
        <w:t>Court</w:t>
      </w:r>
      <w:r>
        <w:rPr>
          <w:color w:val="6E6158"/>
          <w:spacing w:val="23"/>
        </w:rPr>
        <w:t> </w:t>
      </w:r>
      <w:r>
        <w:rPr>
          <w:color w:val="6E6158"/>
        </w:rPr>
        <w:t>ruling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it would abstain in favor of the pending state tenure proceedings. Holding that abstention</w:t>
      </w:r>
      <w:r>
        <w:rPr>
          <w:color w:val="6E6158"/>
          <w:spacing w:val="40"/>
        </w:rPr>
        <w:t> </w:t>
      </w:r>
      <w:r>
        <w:rPr>
          <w:color w:val="6E6158"/>
        </w:rPr>
        <w:t>doctrine applies to both pending state administrative as well as judicial proceedings, the Third</w:t>
      </w:r>
      <w:r>
        <w:rPr>
          <w:color w:val="6E6158"/>
          <w:spacing w:val="40"/>
        </w:rPr>
        <w:t> </w:t>
      </w:r>
      <w:r>
        <w:rPr>
          <w:color w:val="6E6158"/>
        </w:rPr>
        <w:t>Circuit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Appeals</w:t>
      </w:r>
      <w:r>
        <w:rPr>
          <w:color w:val="6E6158"/>
          <w:spacing w:val="26"/>
        </w:rPr>
        <w:t> </w:t>
      </w:r>
      <w:r>
        <w:rPr>
          <w:color w:val="6E6158"/>
        </w:rPr>
        <w:t>held</w:t>
      </w:r>
      <w:r>
        <w:rPr>
          <w:color w:val="6E6158"/>
          <w:spacing w:val="26"/>
        </w:rPr>
        <w:t> </w:t>
      </w:r>
      <w:r>
        <w:rPr>
          <w:color w:val="6E6158"/>
        </w:rPr>
        <w:t>that</w:t>
      </w:r>
      <w:r>
        <w:rPr>
          <w:color w:val="6E6158"/>
          <w:spacing w:val="26"/>
        </w:rPr>
        <w:t> </w:t>
      </w:r>
      <w:r>
        <w:rPr>
          <w:color w:val="6E6158"/>
        </w:rPr>
        <w:t>abstention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proper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remanded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case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spacing w:line="288" w:lineRule="auto" w:before="0"/>
        <w:ind w:left="356" w:right="294" w:firstLine="0"/>
        <w:jc w:val="left"/>
        <w:rPr>
          <w:sz w:val="19"/>
        </w:rPr>
      </w:pPr>
      <w:r>
        <w:rPr>
          <w:color w:val="6E6158"/>
          <w:sz w:val="19"/>
        </w:rPr>
        <w:t>District Court to retain jurisdiction pending completion of the tenure proceedings. </w:t>
      </w:r>
      <w:r>
        <w:rPr>
          <w:i/>
          <w:color w:val="6E6158"/>
          <w:sz w:val="20"/>
        </w:rPr>
        <w:t>Williams </w:t>
      </w:r>
      <w:r>
        <w:rPr>
          <w:i/>
          <w:color w:val="6E6158"/>
          <w:sz w:val="20"/>
        </w:rPr>
        <w:t>v.</w:t>
      </w:r>
      <w:r>
        <w:rPr>
          <w:i/>
          <w:color w:val="6E6158"/>
          <w:sz w:val="20"/>
        </w:rPr>
        <w:t> Red Bank Bd. of Ed.</w:t>
      </w:r>
      <w:r>
        <w:rPr>
          <w:color w:val="6E6158"/>
          <w:sz w:val="19"/>
        </w:rPr>
        <w:t>, 502 F. Supp. 1366 (D.N.J. 1980), </w:t>
      </w:r>
      <w:r>
        <w:rPr>
          <w:i/>
          <w:color w:val="6E6158"/>
          <w:sz w:val="20"/>
        </w:rPr>
        <w:t>vacated and remanded</w:t>
      </w:r>
      <w:r>
        <w:rPr>
          <w:color w:val="6E6158"/>
          <w:sz w:val="19"/>
        </w:rPr>
        <w:t>, 662 F.2d 1008 (3d Cir. 1981).</w:t>
      </w:r>
    </w:p>
    <w:p>
      <w:pPr>
        <w:pStyle w:val="BodyText"/>
        <w:spacing w:line="295" w:lineRule="auto" w:before="116"/>
        <w:ind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133432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06516pt;width:1.65pt;height:1.65pt;mso-position-horizontal-relative:page;mso-position-vertical-relative:paragraph;z-index:15737856" id="docshape30" coordorigin="1675,210" coordsize="33,33" path="m1696,243l1687,243,1683,241,1676,235,1675,231,1675,222,1676,218,1683,212,1687,210,1696,210,1699,212,1706,218,1707,222,1707,226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U.S. Fire Insurance Co. in Southern District of New York action filed by Treadwell Corp. seeking coverage of asbestos liabilities. Treadwell, which faced millions of dollars of</w:t>
      </w:r>
      <w:r>
        <w:rPr>
          <w:color w:val="6E6158"/>
          <w:spacing w:val="40"/>
        </w:rPr>
        <w:t> </w:t>
      </w:r>
      <w:r>
        <w:rPr>
          <w:color w:val="6E6158"/>
        </w:rPr>
        <w:t>exposure for asbestos injuries occurring over decades, sought coverage for all such </w:t>
      </w:r>
      <w:r>
        <w:rPr>
          <w:color w:val="6E6158"/>
        </w:rPr>
        <w:t>liabilities</w:t>
      </w:r>
      <w:r>
        <w:rPr>
          <w:color w:val="6E6158"/>
          <w:spacing w:val="40"/>
        </w:rPr>
        <w:t> </w:t>
      </w:r>
      <w:r>
        <w:rPr>
          <w:color w:val="6E6158"/>
        </w:rPr>
        <w:t>from its insurers. Rejecting Treadwell’s claim, the court accepted U.S. Fire’s argument that</w:t>
      </w:r>
      <w:r>
        <w:rPr>
          <w:color w:val="6E6158"/>
          <w:spacing w:val="40"/>
        </w:rPr>
        <w:t> </w:t>
      </w:r>
      <w:r>
        <w:rPr>
          <w:color w:val="6E6158"/>
        </w:rPr>
        <w:t>responsibility for liabilities be prorated over the entire period of injury, with Treadwell</w:t>
      </w:r>
      <w:r>
        <w:rPr>
          <w:color w:val="6E6158"/>
          <w:spacing w:val="40"/>
        </w:rPr>
        <w:t> </w:t>
      </w:r>
      <w:r>
        <w:rPr>
          <w:color w:val="6E6158"/>
        </w:rPr>
        <w:t>responsible for its pro rata share attributable to years in which it did not purchase 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coverage.</w:t>
      </w:r>
      <w:r>
        <w:rPr>
          <w:color w:val="6E6158"/>
          <w:spacing w:val="33"/>
        </w:rPr>
        <w:t> </w:t>
      </w:r>
      <w:r>
        <w:rPr>
          <w:color w:val="6E6158"/>
        </w:rPr>
        <w:t>Judge</w:t>
      </w:r>
      <w:r>
        <w:rPr>
          <w:color w:val="6E6158"/>
          <w:spacing w:val="33"/>
        </w:rPr>
        <w:t> </w:t>
      </w:r>
      <w:r>
        <w:rPr>
          <w:color w:val="6E6158"/>
        </w:rPr>
        <w:t>(later</w:t>
      </w:r>
      <w:r>
        <w:rPr>
          <w:color w:val="6E6158"/>
          <w:spacing w:val="33"/>
        </w:rPr>
        <w:t> </w:t>
      </w:r>
      <w:r>
        <w:rPr>
          <w:color w:val="6E6158"/>
        </w:rPr>
        <w:t>Attorney</w:t>
      </w:r>
      <w:r>
        <w:rPr>
          <w:color w:val="6E6158"/>
          <w:spacing w:val="33"/>
        </w:rPr>
        <w:t> </w:t>
      </w:r>
      <w:r>
        <w:rPr>
          <w:color w:val="6E6158"/>
        </w:rPr>
        <w:t>General)</w:t>
      </w:r>
      <w:r>
        <w:rPr>
          <w:color w:val="6E6158"/>
          <w:spacing w:val="33"/>
        </w:rPr>
        <w:t> </w:t>
      </w:r>
      <w:r>
        <w:rPr>
          <w:color w:val="6E6158"/>
        </w:rPr>
        <w:t>Michael</w:t>
      </w:r>
      <w:r>
        <w:rPr>
          <w:color w:val="6E6158"/>
          <w:spacing w:val="33"/>
        </w:rPr>
        <w:t> </w:t>
      </w:r>
      <w:r>
        <w:rPr>
          <w:color w:val="6E6158"/>
        </w:rPr>
        <w:t>Mukasey’s</w:t>
      </w:r>
      <w:r>
        <w:rPr>
          <w:color w:val="6E6158"/>
          <w:spacing w:val="33"/>
        </w:rPr>
        <w:t> </w:t>
      </w:r>
      <w:r>
        <w:rPr>
          <w:color w:val="6E6158"/>
        </w:rPr>
        <w:t>well-reasoned</w:t>
      </w:r>
      <w:r>
        <w:rPr>
          <w:color w:val="6E6158"/>
          <w:spacing w:val="33"/>
        </w:rPr>
        <w:t> </w:t>
      </w:r>
      <w:r>
        <w:rPr>
          <w:color w:val="6E6158"/>
        </w:rPr>
        <w:t>opinion</w:t>
      </w:r>
      <w:r>
        <w:rPr>
          <w:color w:val="6E6158"/>
          <w:spacing w:val="33"/>
        </w:rPr>
        <w:t> </w:t>
      </w:r>
      <w:r>
        <w:rPr>
          <w:color w:val="6E6158"/>
        </w:rPr>
        <w:t>broke</w:t>
      </w:r>
    </w:p>
    <w:p>
      <w:pPr>
        <w:spacing w:line="288" w:lineRule="auto" w:before="0"/>
        <w:ind w:left="356" w:right="0" w:firstLine="0"/>
        <w:jc w:val="left"/>
        <w:rPr>
          <w:sz w:val="19"/>
        </w:rPr>
      </w:pPr>
      <w:r>
        <w:rPr>
          <w:color w:val="6E6158"/>
          <w:sz w:val="19"/>
        </w:rPr>
        <w:t>new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ground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at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time.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United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Fid.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Guar.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Treadwell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58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F.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Supp.2d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77 (S.D.N.Y. 1999).</w:t>
      </w:r>
    </w:p>
    <w:p>
      <w:pPr>
        <w:pStyle w:val="BodyText"/>
        <w:spacing w:line="295" w:lineRule="auto" w:before="122"/>
        <w:ind w:right="3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137314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12134pt;width:1.65pt;height:1.65pt;mso-position-horizontal-relative:page;mso-position-vertical-relative:paragraph;z-index:15738368" id="docshape31" coordorigin="1675,216" coordsize="33,33" path="m1696,249l1687,249,1683,247,1676,241,1675,237,1675,228,1676,224,1683,218,1687,216,1696,216,1699,218,1706,224,1707,228,1707,233,1707,237,1706,241,1699,247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U.S. Fire Insurance Co. in multiparty action filed by Schlumberger Industries in</w:t>
      </w:r>
      <w:r>
        <w:rPr>
          <w:color w:val="6E6158"/>
          <w:spacing w:val="40"/>
        </w:rPr>
        <w:t> </w:t>
      </w:r>
      <w:r>
        <w:rPr>
          <w:color w:val="6E6158"/>
        </w:rPr>
        <w:t>United States District Court for the District of South Carolina seeking coverage for millions of</w:t>
      </w:r>
      <w:r>
        <w:rPr>
          <w:color w:val="6E6158"/>
          <w:spacing w:val="40"/>
        </w:rPr>
        <w:t> </w:t>
      </w:r>
      <w:r>
        <w:rPr>
          <w:color w:val="6E6158"/>
        </w:rPr>
        <w:t>dollars in costs to remediate PCB contamination at sites in South Carolina. Prevailed on</w:t>
      </w:r>
      <w:r>
        <w:rPr>
          <w:color w:val="6E6158"/>
          <w:spacing w:val="40"/>
        </w:rPr>
        <w:t> </w:t>
      </w:r>
      <w:r>
        <w:rPr>
          <w:color w:val="6E6158"/>
        </w:rPr>
        <w:t>summary judgment, the District court holding that the policies did not cover the </w:t>
      </w:r>
      <w:r>
        <w:rPr>
          <w:color w:val="6E6158"/>
        </w:rPr>
        <w:t>remediation</w:t>
      </w:r>
      <w:r>
        <w:rPr>
          <w:color w:val="6E6158"/>
          <w:spacing w:val="40"/>
        </w:rPr>
        <w:t> </w:t>
      </w:r>
      <w:r>
        <w:rPr>
          <w:color w:val="6E6158"/>
        </w:rPr>
        <w:t>costs. On appeal, the Fourth Circuit Court of Appeals vacated and remanded on</w:t>
      </w:r>
      <w:r>
        <w:rPr>
          <w:color w:val="6E6158"/>
          <w:spacing w:val="80"/>
        </w:rPr>
        <w:t> </w:t>
      </w:r>
      <w:r>
        <w:rPr>
          <w:color w:val="6E6158"/>
        </w:rPr>
        <w:t>jurisdictional grounds. </w:t>
      </w:r>
      <w:r>
        <w:rPr>
          <w:i/>
          <w:color w:val="6E6158"/>
          <w:sz w:val="20"/>
        </w:rPr>
        <w:t>Schlumberger Indus. v. National Surety Corp.</w:t>
      </w:r>
      <w:r>
        <w:rPr>
          <w:color w:val="6E6158"/>
        </w:rPr>
        <w:t>, 36 F.3d 1274 (4th Cir.</w:t>
      </w:r>
    </w:p>
    <w:p>
      <w:pPr>
        <w:pStyle w:val="BodyText"/>
        <w:spacing w:line="224" w:lineRule="exact"/>
      </w:pPr>
      <w:r>
        <w:rPr>
          <w:color w:val="6E6158"/>
          <w:spacing w:val="-2"/>
        </w:rPr>
        <w:t>1994).</w:t>
      </w:r>
    </w:p>
    <w:p>
      <w:pPr>
        <w:pStyle w:val="BodyText"/>
        <w:spacing w:line="292" w:lineRule="auto" w:before="174"/>
        <w:ind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170283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167pt;width:1.65pt;height:1.65pt;mso-position-horizontal-relative:page;mso-position-vertical-relative:paragraph;z-index:15738880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International Insurance Co. in adversary proceeding brought by Celotex </w:t>
      </w:r>
      <w:r>
        <w:rPr>
          <w:color w:val="6E6158"/>
        </w:rPr>
        <w:t>Corp.</w:t>
      </w:r>
      <w:r>
        <w:rPr>
          <w:color w:val="6E6158"/>
          <w:spacing w:val="80"/>
        </w:rPr>
        <w:t> </w:t>
      </w:r>
      <w:r>
        <w:rPr>
          <w:color w:val="6E6158"/>
        </w:rPr>
        <w:t>in United States Bankruptcy Court for the Middle District of Florida seeking coverage for</w:t>
      </w:r>
      <w:r>
        <w:rPr>
          <w:color w:val="6E6158"/>
          <w:spacing w:val="40"/>
        </w:rPr>
        <w:t> </w:t>
      </w:r>
      <w:r>
        <w:rPr>
          <w:color w:val="6E6158"/>
        </w:rPr>
        <w:t>asbestos-in-buildings claims from numerous insurers. Secured partial summary judgment, the</w:t>
      </w:r>
      <w:r>
        <w:rPr>
          <w:color w:val="6E6158"/>
          <w:spacing w:val="40"/>
        </w:rPr>
        <w:t> </w:t>
      </w:r>
      <w:r>
        <w:rPr>
          <w:color w:val="6E6158"/>
        </w:rPr>
        <w:t>court ruling that there was no coverage for asbestos-related building claims involving intentional conduct, and no coverage for punitive damages. </w:t>
      </w:r>
      <w:r>
        <w:rPr>
          <w:i/>
          <w:color w:val="6E6158"/>
          <w:sz w:val="20"/>
        </w:rPr>
        <w:t>Celotex Corp. v. AIU Ins. Co.</w:t>
      </w:r>
      <w:r>
        <w:rPr>
          <w:color w:val="6E6158"/>
        </w:rPr>
        <w:t>, 152 B.R. 652 (M.D. Fl. 1993).</w:t>
      </w:r>
    </w:p>
    <w:p>
      <w:pPr>
        <w:pStyle w:val="BodyText"/>
        <w:spacing w:line="292" w:lineRule="auto" w:before="127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140457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59682pt;width:1.65pt;height:1.65pt;mso-position-horizontal-relative:page;mso-position-vertical-relative:paragraph;z-index:15739392" id="docshape33" coordorigin="1675,221" coordsize="33,33" path="m1696,254l1687,254,1683,252,1676,246,1675,242,1675,233,1676,229,1683,223,1687,221,1696,221,1699,223,1706,229,1707,233,1707,237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multiple plaintiffs in highly-complex litigation against several bank trustees and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defendants,</w:t>
      </w:r>
      <w:r>
        <w:rPr>
          <w:color w:val="6E6158"/>
          <w:spacing w:val="40"/>
        </w:rPr>
        <w:t> </w:t>
      </w:r>
      <w:r>
        <w:rPr>
          <w:color w:val="6E6158"/>
        </w:rPr>
        <w:t>securing</w:t>
      </w:r>
      <w:r>
        <w:rPr>
          <w:color w:val="6E6158"/>
          <w:spacing w:val="40"/>
        </w:rPr>
        <w:t> </w:t>
      </w:r>
      <w:r>
        <w:rPr>
          <w:color w:val="6E6158"/>
        </w:rPr>
        <w:t>significant</w:t>
      </w:r>
      <w:r>
        <w:rPr>
          <w:color w:val="6E6158"/>
          <w:spacing w:val="40"/>
        </w:rPr>
        <w:t> </w:t>
      </w:r>
      <w:r>
        <w:rPr>
          <w:color w:val="6E6158"/>
        </w:rPr>
        <w:t>recoveries</w:t>
      </w:r>
      <w:r>
        <w:rPr>
          <w:color w:val="6E6158"/>
          <w:spacing w:val="40"/>
        </w:rPr>
        <w:t>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settlement</w:t>
      </w:r>
      <w:r>
        <w:rPr>
          <w:color w:val="6E6158"/>
          <w:spacing w:val="40"/>
        </w:rPr>
        <w:t> </w:t>
      </w:r>
      <w:r>
        <w:rPr>
          <w:color w:val="6E6158"/>
        </w:rPr>
        <w:t>and substantial judgments. The litigation arose out of a multi-state fraud scheme involving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Prearranged</w:t>
      </w:r>
      <w:r>
        <w:rPr>
          <w:color w:val="6E6158"/>
          <w:spacing w:val="34"/>
        </w:rPr>
        <w:t> </w:t>
      </w:r>
      <w:r>
        <w:rPr>
          <w:color w:val="6E6158"/>
        </w:rPr>
        <w:t>Services,</w:t>
      </w:r>
      <w:r>
        <w:rPr>
          <w:color w:val="6E6158"/>
          <w:spacing w:val="34"/>
        </w:rPr>
        <w:t> </w:t>
      </w:r>
      <w:r>
        <w:rPr>
          <w:color w:val="6E6158"/>
        </w:rPr>
        <w:t>Inc.</w:t>
      </w:r>
      <w:r>
        <w:rPr>
          <w:color w:val="6E6158"/>
          <w:spacing w:val="34"/>
        </w:rPr>
        <w:t> </w:t>
      </w:r>
      <w:r>
        <w:rPr>
          <w:color w:val="6E6158"/>
        </w:rPr>
        <w:t>(a</w:t>
      </w:r>
      <w:r>
        <w:rPr>
          <w:color w:val="6E6158"/>
          <w:spacing w:val="34"/>
        </w:rPr>
        <w:t> </w:t>
      </w:r>
      <w:r>
        <w:rPr>
          <w:color w:val="6E6158"/>
        </w:rPr>
        <w:t>Missouri-based</w:t>
      </w:r>
      <w:r>
        <w:rPr>
          <w:color w:val="6E6158"/>
          <w:spacing w:val="34"/>
        </w:rPr>
        <w:t> </w:t>
      </w:r>
      <w:r>
        <w:rPr>
          <w:color w:val="6E6158"/>
        </w:rPr>
        <w:t>preneed</w:t>
      </w:r>
      <w:r>
        <w:rPr>
          <w:color w:val="6E6158"/>
          <w:spacing w:val="34"/>
        </w:rPr>
        <w:t> </w:t>
      </w:r>
      <w:r>
        <w:rPr>
          <w:color w:val="6E6158"/>
        </w:rPr>
        <w:t>funeral</w:t>
      </w:r>
      <w:r>
        <w:rPr>
          <w:color w:val="6E6158"/>
          <w:spacing w:val="34"/>
        </w:rPr>
        <w:t> </w:t>
      </w:r>
      <w:r>
        <w:rPr>
          <w:color w:val="6E6158"/>
        </w:rPr>
        <w:t>contracts</w:t>
      </w:r>
      <w:r>
        <w:rPr>
          <w:color w:val="6E6158"/>
          <w:spacing w:val="34"/>
        </w:rPr>
        <w:t> </w:t>
      </w:r>
      <w:r>
        <w:rPr>
          <w:color w:val="6E6158"/>
        </w:rPr>
        <w:t>seller)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its</w:t>
      </w:r>
      <w:r>
        <w:rPr>
          <w:color w:val="6E6158"/>
          <w:spacing w:val="34"/>
        </w:rPr>
        <w:t> </w:t>
      </w:r>
      <w:r>
        <w:rPr>
          <w:color w:val="6E6158"/>
        </w:rPr>
        <w:t>two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163"/>
      </w:pPr>
      <w:r>
        <w:rPr>
          <w:color w:val="6E6158"/>
        </w:rPr>
        <w:t>related insurance companies domiciled in Texas. Bob and others were retained by 35 state life</w:t>
      </w:r>
      <w:r>
        <w:rPr>
          <w:color w:val="6E6158"/>
          <w:spacing w:val="40"/>
        </w:rPr>
        <w:t> </w:t>
      </w:r>
      <w:r>
        <w:rPr>
          <w:color w:val="6E6158"/>
        </w:rPr>
        <w:t>and health insurance guaranty associations, NOLHGA, and the Texas Special Deputy </w:t>
      </w:r>
      <w:r>
        <w:rPr>
          <w:color w:val="6E6158"/>
        </w:rPr>
        <w:t>Receiver</w:t>
      </w:r>
      <w:r>
        <w:rPr>
          <w:color w:val="6E6158"/>
          <w:spacing w:val="40"/>
        </w:rPr>
        <w:t> </w:t>
      </w:r>
      <w:r>
        <w:rPr>
          <w:color w:val="6E6158"/>
        </w:rPr>
        <w:t>to seek recoveries from over 40 defendants, including multiple bank trustees, an accounting</w:t>
      </w:r>
      <w:r>
        <w:rPr>
          <w:color w:val="6E6158"/>
          <w:spacing w:val="80"/>
        </w:rPr>
        <w:t> </w:t>
      </w:r>
      <w:r>
        <w:rPr>
          <w:color w:val="6E6158"/>
        </w:rPr>
        <w:t>firm,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former</w:t>
      </w:r>
      <w:r>
        <w:rPr>
          <w:color w:val="6E6158"/>
          <w:spacing w:val="30"/>
        </w:rPr>
        <w:t> </w:t>
      </w:r>
      <w:r>
        <w:rPr>
          <w:color w:val="6E6158"/>
        </w:rPr>
        <w:t>officers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directors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NPS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insurance</w:t>
      </w:r>
      <w:r>
        <w:rPr>
          <w:color w:val="6E6158"/>
          <w:spacing w:val="30"/>
        </w:rPr>
        <w:t> </w:t>
      </w:r>
      <w:r>
        <w:rPr>
          <w:color w:val="6E6158"/>
        </w:rPr>
        <w:t>companies.</w:t>
      </w:r>
      <w:r>
        <w:rPr>
          <w:color w:val="6E6158"/>
          <w:spacing w:val="30"/>
        </w:rPr>
        <w:t> </w:t>
      </w:r>
      <w:r>
        <w:rPr>
          <w:color w:val="6E6158"/>
        </w:rPr>
        <w:t>Plaintiffs’ claims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negligence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breach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fiduciary</w:t>
      </w:r>
      <w:r>
        <w:rPr>
          <w:color w:val="6E6158"/>
          <w:spacing w:val="31"/>
        </w:rPr>
        <w:t> </w:t>
      </w:r>
      <w:r>
        <w:rPr>
          <w:color w:val="6E6158"/>
        </w:rPr>
        <w:t>duty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bank</w:t>
      </w:r>
      <w:r>
        <w:rPr>
          <w:color w:val="6E6158"/>
          <w:spacing w:val="31"/>
        </w:rPr>
        <w:t> </w:t>
      </w:r>
      <w:r>
        <w:rPr>
          <w:color w:val="6E6158"/>
        </w:rPr>
        <w:t>trustees</w:t>
      </w:r>
      <w:r>
        <w:rPr>
          <w:color w:val="6E6158"/>
          <w:spacing w:val="31"/>
        </w:rPr>
        <w:t> </w:t>
      </w:r>
      <w:r>
        <w:rPr>
          <w:color w:val="6E6158"/>
        </w:rPr>
        <w:t>for allowing the preneed trust funds to be looted, accounting malpractice, and RICO (Racketeer</w:t>
      </w:r>
      <w:r>
        <w:rPr>
          <w:color w:val="6E6158"/>
          <w:spacing w:val="40"/>
        </w:rPr>
        <w:t> </w:t>
      </w:r>
      <w:r>
        <w:rPr>
          <w:color w:val="6E6158"/>
        </w:rPr>
        <w:t>Influenced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Corrupt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Act)</w:t>
      </w:r>
      <w:r>
        <w:rPr>
          <w:color w:val="6E6158"/>
          <w:spacing w:val="35"/>
        </w:rPr>
        <w:t> </w:t>
      </w:r>
      <w:r>
        <w:rPr>
          <w:color w:val="6E6158"/>
        </w:rPr>
        <w:t>claims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former</w:t>
      </w:r>
      <w:r>
        <w:rPr>
          <w:color w:val="6E6158"/>
          <w:spacing w:val="35"/>
        </w:rPr>
        <w:t> </w:t>
      </w:r>
      <w:r>
        <w:rPr>
          <w:color w:val="6E6158"/>
        </w:rPr>
        <w:t>officers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directors.</w:t>
      </w:r>
    </w:p>
    <w:p>
      <w:pPr>
        <w:pStyle w:val="BodyText"/>
        <w:spacing w:line="295" w:lineRule="auto" w:before="5"/>
        <w:ind w:right="65"/>
      </w:pPr>
      <w:r>
        <w:rPr>
          <w:color w:val="6E6158"/>
        </w:rPr>
        <w:t>Settlements with most defendants were negotiated before trial, resulting in large recoveries for</w:t>
      </w:r>
      <w:r>
        <w:rPr>
          <w:color w:val="6E6158"/>
          <w:spacing w:val="40"/>
        </w:rPr>
        <w:t> </w:t>
      </w:r>
      <w:r>
        <w:rPr>
          <w:color w:val="6E6158"/>
        </w:rPr>
        <w:t>the clients. A five-week jury trial was held in federal court in Missouri in early 2015, where a jury</w:t>
      </w:r>
      <w:r>
        <w:rPr>
          <w:color w:val="6E6158"/>
          <w:spacing w:val="40"/>
        </w:rPr>
        <w:t> </w:t>
      </w:r>
      <w:r>
        <w:rPr>
          <w:color w:val="6E6158"/>
        </w:rPr>
        <w:t>verdict of $391 million (including a punitive damages award) was entered against PNC Bank.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Eighth</w:t>
      </w:r>
      <w:r>
        <w:rPr>
          <w:color w:val="6E6158"/>
          <w:spacing w:val="17"/>
        </w:rPr>
        <w:t> </w:t>
      </w:r>
      <w:r>
        <w:rPr>
          <w:color w:val="6E6158"/>
        </w:rPr>
        <w:t>Circuit</w:t>
      </w:r>
      <w:r>
        <w:rPr>
          <w:color w:val="6E6158"/>
          <w:spacing w:val="17"/>
        </w:rPr>
        <w:t> </w:t>
      </w:r>
      <w:r>
        <w:rPr>
          <w:color w:val="6E6158"/>
        </w:rPr>
        <w:t>remanded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case</w:t>
      </w:r>
      <w:r>
        <w:rPr>
          <w:color w:val="6E6158"/>
          <w:spacing w:val="17"/>
        </w:rPr>
        <w:t> </w:t>
      </w:r>
      <w:r>
        <w:rPr>
          <w:color w:val="6E6158"/>
        </w:rPr>
        <w:t>against</w:t>
      </w:r>
      <w:r>
        <w:rPr>
          <w:color w:val="6E6158"/>
          <w:spacing w:val="17"/>
        </w:rPr>
        <w:t> </w:t>
      </w:r>
      <w:r>
        <w:rPr>
          <w:color w:val="6E6158"/>
        </w:rPr>
        <w:t>PNC</w:t>
      </w:r>
      <w:r>
        <w:rPr>
          <w:color w:val="6E6158"/>
          <w:spacing w:val="17"/>
        </w:rPr>
        <w:t> </w:t>
      </w:r>
      <w:r>
        <w:rPr>
          <w:color w:val="6E6158"/>
        </w:rPr>
        <w:t>Bank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trial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Court,</w:t>
      </w:r>
      <w:r>
        <w:rPr>
          <w:color w:val="6E6158"/>
          <w:spacing w:val="17"/>
        </w:rPr>
        <w:t> </w:t>
      </w:r>
      <w:r>
        <w:rPr>
          <w:color w:val="6E6158"/>
        </w:rPr>
        <w:t>Bob</w:t>
      </w:r>
      <w:r>
        <w:rPr>
          <w:color w:val="6E6158"/>
          <w:spacing w:val="17"/>
        </w:rPr>
        <w:t> </w:t>
      </w:r>
      <w:r>
        <w:rPr>
          <w:color w:val="6E6158"/>
        </w:rPr>
        <w:t>was a key member of the trial team that secured a combined $106 million judgment ($99 million in</w:t>
      </w:r>
      <w:r>
        <w:rPr>
          <w:color w:val="6E6158"/>
          <w:spacing w:val="40"/>
        </w:rPr>
        <w:t> </w:t>
      </w:r>
      <w:r>
        <w:rPr>
          <w:color w:val="6E6158"/>
        </w:rPr>
        <w:t>compensatory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punitive</w:t>
      </w:r>
      <w:r>
        <w:rPr>
          <w:color w:val="6E6158"/>
          <w:spacing w:val="32"/>
        </w:rPr>
        <w:t> </w:t>
      </w:r>
      <w:r>
        <w:rPr>
          <w:color w:val="6E6158"/>
        </w:rPr>
        <w:t>damages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$7</w:t>
      </w:r>
      <w:r>
        <w:rPr>
          <w:color w:val="6E6158"/>
          <w:spacing w:val="32"/>
        </w:rPr>
        <w:t> </w:t>
      </w:r>
      <w:r>
        <w:rPr>
          <w:color w:val="6E6158"/>
        </w:rPr>
        <w:t>million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attorney</w:t>
      </w:r>
      <w:r>
        <w:rPr>
          <w:color w:val="6E6158"/>
          <w:spacing w:val="32"/>
        </w:rPr>
        <w:t> </w:t>
      </w:r>
      <w:r>
        <w:rPr>
          <w:color w:val="6E6158"/>
        </w:rPr>
        <w:t>fees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costs)</w:t>
      </w:r>
    </w:p>
    <w:p>
      <w:pPr>
        <w:pStyle w:val="BodyText"/>
        <w:spacing w:line="231" w:lineRule="exact"/>
      </w:pP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PNC</w:t>
      </w:r>
      <w:r>
        <w:rPr>
          <w:color w:val="6E6158"/>
          <w:spacing w:val="10"/>
        </w:rPr>
        <w:t> </w:t>
      </w:r>
      <w:r>
        <w:rPr>
          <w:color w:val="6E6158"/>
        </w:rPr>
        <w:t>Bank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breach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trust.</w:t>
      </w:r>
      <w:r>
        <w:rPr>
          <w:color w:val="6E6158"/>
          <w:spacing w:val="10"/>
        </w:rPr>
        <w:t> </w:t>
      </w:r>
      <w:r>
        <w:rPr>
          <w:color w:val="6E6158"/>
        </w:rPr>
        <w:t>PNC’s</w:t>
      </w:r>
      <w:r>
        <w:rPr>
          <w:color w:val="6E6158"/>
          <w:spacing w:val="11"/>
        </w:rPr>
        <w:t> </w:t>
      </w:r>
      <w:r>
        <w:rPr>
          <w:color w:val="6E6158"/>
        </w:rPr>
        <w:t>appeal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judgment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currently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pending.</w:t>
      </w:r>
    </w:p>
    <w:p>
      <w:pPr>
        <w:pStyle w:val="Heading1"/>
        <w:spacing w:before="22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152529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22pt;width:1.65pt;height:1.65pt;mso-position-horizontal-relative:page;mso-position-vertical-relative:paragraph;z-index:15739904" id="docshape3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4"/>
          <w:sz w:val="20"/>
        </w:rPr>
        <w:t>New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4"/>
          <w:sz w:val="20"/>
        </w:rPr>
        <w:t>York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4"/>
          <w:sz w:val="20"/>
        </w:rPr>
        <w:t>Metro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4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pacing w:val="-4"/>
          <w:sz w:val="20"/>
        </w:rPr>
        <w:t>Lawyers®,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line="408" w:lineRule="auto" w:before="162"/>
        <w:ind w:left="356" w:right="23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168823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226pt;width:1.65pt;height:1.65pt;mso-position-horizontal-relative:page;mso-position-vertical-relative:paragraph;z-index:15740416" id="docshape3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427189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36974pt;width:1.65pt;height:1.65pt;mso-position-horizontal-relative:page;mso-position-vertical-relative:paragraph;z-index:15740928" id="docshape36" coordorigin="1675,673" coordsize="33,33" path="m1696,705l1687,705,1683,704,1676,697,1675,694,1675,685,1676,681,1683,674,1687,673,1696,673,1699,674,1706,681,1707,685,1707,689,1707,694,1706,697,1699,704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Jersey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Lawyers®,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Insurance Coverage, 2007, 2009-</w:t>
      </w:r>
      <w:r>
        <w:rPr>
          <w:color w:val="6E6158"/>
          <w:sz w:val="19"/>
        </w:rPr>
        <w:t>2014 AV® Preeminent by Martindale-Hubbell</w:t>
      </w:r>
    </w:p>
    <w:p>
      <w:pPr>
        <w:pStyle w:val="Heading1"/>
        <w:spacing w:before="1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152896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098pt;width:1.65pt;height:1.65pt;mso-position-horizontal-relative:page;mso-position-vertical-relative:paragraph;z-index:15741440" id="docshape3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55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169991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141pt;width:1.65pt;height:1.65pt;mso-position-horizontal-relative:page;mso-position-vertical-relative:paragraph;z-index:15741952" id="docshape3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428356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8889pt;width:1.65pt;height:1.65pt;mso-position-horizontal-relative:page;mso-position-vertical-relative:paragraph;z-index:15742464" id="docshape3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 Jersey State Bar </w:t>
      </w:r>
      <w:r>
        <w:rPr>
          <w:color w:val="6E6158"/>
        </w:rPr>
        <w:t>Association New York State Bar Association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63659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547pt;width:1.65pt;height:1.65pt;mso-position-horizontal-relative:page;mso-position-vertical-relative:paragraph;z-index:15742976" id="docshape4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3"/>
        </w:rPr>
        <w:t> </w:t>
      </w:r>
      <w:r>
        <w:rPr>
          <w:color w:val="6E6158"/>
        </w:rPr>
        <w:t>York</w:t>
      </w:r>
      <w:r>
        <w:rPr>
          <w:color w:val="6E6158"/>
          <w:spacing w:val="4"/>
        </w:rPr>
        <w:t> </w:t>
      </w:r>
      <w:r>
        <w:rPr>
          <w:color w:val="6E6158"/>
        </w:rPr>
        <w:t>City</w:t>
      </w:r>
      <w:r>
        <w:rPr>
          <w:color w:val="6E6158"/>
          <w:spacing w:val="4"/>
        </w:rPr>
        <w:t> </w:t>
      </w:r>
      <w:r>
        <w:rPr>
          <w:color w:val="6E6158"/>
        </w:rPr>
        <w:t>Bar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152927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559pt;width:1.65pt;height:1.65pt;mso-position-horizontal-relative:page;mso-position-vertical-relative:paragraph;z-index:15743488" id="docshape4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411293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307pt;width:1.65pt;height:1.65pt;mso-position-horizontal-relative:page;mso-position-vertical-relative:paragraph;z-index:15744000" id="docshape42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669659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9057pt;width:1.65pt;height:1.65pt;mso-position-horizontal-relative:page;mso-position-vertical-relative:paragraph;z-index:15744512" id="docshape43" coordorigin="1675,1055" coordsize="33,33" path="m1696,1087l1687,1087,1683,1086,1676,1079,1675,1075,1675,1066,1676,1063,1683,1056,1687,1055,1696,1055,1699,1056,1706,1063,1707,1066,1707,1071,1707,1075,1706,1079,1699,1086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-9"/>
        </w:rPr>
        <w:t> </w:t>
      </w:r>
      <w:r>
        <w:rPr>
          <w:color w:val="6E6158"/>
        </w:rPr>
        <w:t>Jersey New York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63236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923pt;width:1.65pt;height:1.65pt;mso-position-horizontal-relative:page;mso-position-vertical-relative:paragraph;z-index:15745024" id="docshape44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District,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Jersey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169865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275pt;width:1.65pt;height:1.65pt;mso-position-horizontal-relative:page;mso-position-vertical-relative:paragraph;z-index:15745536" id="docshape45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169815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319pt;width:1.65pt;height:1.65pt;mso-position-horizontal-relative:page;mso-position-vertical-relative:paragraph;z-index:15746048" id="docshape4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169765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363pt;width:1.65pt;height:1.65pt;mso-position-horizontal-relative:page;mso-position-vertical-relative:paragraph;z-index:15746560" id="docshape4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Second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174882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282pt;width:1.65pt;height:1.65pt;mso-position-horizontal-relative:page;mso-position-vertical-relative:paragraph;z-index:15747072" id="docshape4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Third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169752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326pt;width:1.65pt;height:1.65pt;mso-position-horizontal-relative:page;mso-position-vertical-relative:paragraph;z-index:15747584" id="docshape4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Fourth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169702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37pt;width:1.65pt;height:1.65pt;mso-position-horizontal-relative:page;mso-position-vertical-relative:paragraph;z-index:15748096" id="docshape5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175454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289pt;width:1.65pt;height:1.65pt;mso-position-horizontal-relative:page;mso-position-vertical-relative:paragraph;z-index:15748608" id="docshape5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169688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333pt;width:1.65pt;height:1.65pt;mso-position-horizontal-relative:page;mso-position-vertical-relative:paragraph;z-index:15749120" id="docshape5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rkell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2025-01-02T07:00:41Z</dcterms:created>
  <dcterms:modified xsi:type="dcterms:W3CDTF">2025-01-02T07:00:41Z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