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1280" y="1369338"/>
                            <a:ext cx="19170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064" h="320675">
                                <a:moveTo>
                                  <a:pt x="191706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17065" y="320382"/>
                                </a:lnTo>
                                <a:lnTo>
                                  <a:pt x="1917065" y="315214"/>
                                </a:lnTo>
                                <a:close/>
                              </a:path>
                              <a:path w="1917064" h="320675">
                                <a:moveTo>
                                  <a:pt x="1917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17065" y="5168"/>
                                </a:lnTo>
                                <a:lnTo>
                                  <a:pt x="19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SAMUEL 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EFIRD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602.916.5540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sefird@fennemorelaw.com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55;top:2156;width:3019;height:505" id="docshape5" coordorigin="5656,2156" coordsize="3019,505" path="m8675,2653l5656,2653,5656,2661,8675,2661,8675,2653xm8675,2156l5656,2156,5656,2165,8675,2165,8675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SAMUEL 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EFIRD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602.916.5540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sefird@fennemorelaw.com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SAMUEL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S.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EFIRD</w:t>
      </w:r>
    </w:p>
    <w:p>
      <w:pPr>
        <w:pStyle w:val="BodyText"/>
        <w:spacing w:line="295" w:lineRule="auto"/>
        <w:ind w:left="104" w:right="562"/>
      </w:pPr>
      <w:r>
        <w:rPr>
          <w:color w:val="6E6158"/>
        </w:rPr>
        <w:t>Sam is a member of the firm’s business and finance practice group and focuses on general</w:t>
      </w:r>
      <w:r>
        <w:rPr>
          <w:color w:val="6E6158"/>
          <w:spacing w:val="40"/>
        </w:rPr>
        <w:t> </w:t>
      </w:r>
      <w:r>
        <w:rPr>
          <w:color w:val="6E6158"/>
        </w:rPr>
        <w:t>corporate law, entity formation and governance, mergers and acquisitions, and venture </w:t>
      </w:r>
      <w:r>
        <w:rPr>
          <w:color w:val="6E6158"/>
        </w:rPr>
        <w:t>capital</w:t>
      </w:r>
      <w:r>
        <w:rPr>
          <w:color w:val="6E6158"/>
          <w:spacing w:val="40"/>
        </w:rPr>
        <w:t> </w:t>
      </w:r>
      <w:r>
        <w:rPr>
          <w:color w:val="6E6158"/>
        </w:rPr>
        <w:t>transactions. He also helps clients navigate the tax implications of their business activities,</w:t>
      </w:r>
      <w:r>
        <w:rPr>
          <w:color w:val="6E6158"/>
          <w:spacing w:val="40"/>
        </w:rPr>
        <w:t> </w:t>
      </w:r>
      <w:r>
        <w:rPr>
          <w:color w:val="6E6158"/>
        </w:rPr>
        <w:t>particularly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it</w:t>
      </w:r>
      <w:r>
        <w:rPr>
          <w:color w:val="6E6158"/>
          <w:spacing w:val="33"/>
        </w:rPr>
        <w:t> </w:t>
      </w:r>
      <w:r>
        <w:rPr>
          <w:color w:val="6E6158"/>
        </w:rPr>
        <w:t>relates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forming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operating</w:t>
      </w:r>
      <w:r>
        <w:rPr>
          <w:color w:val="6E6158"/>
          <w:spacing w:val="33"/>
        </w:rPr>
        <w:t> </w:t>
      </w:r>
      <w:r>
        <w:rPr>
          <w:color w:val="6E6158"/>
        </w:rPr>
        <w:t>partnerships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limited</w:t>
      </w:r>
      <w:r>
        <w:rPr>
          <w:color w:val="6E6158"/>
          <w:spacing w:val="33"/>
        </w:rPr>
        <w:t> </w:t>
      </w:r>
      <w:r>
        <w:rPr>
          <w:color w:val="6E6158"/>
        </w:rPr>
        <w:t>liability</w:t>
      </w:r>
      <w:r>
        <w:rPr>
          <w:color w:val="6E6158"/>
          <w:spacing w:val="33"/>
        </w:rPr>
        <w:t> </w:t>
      </w:r>
      <w:r>
        <w:rPr>
          <w:color w:val="6E6158"/>
        </w:rPr>
        <w:t>companies.</w:t>
      </w:r>
    </w:p>
    <w:p>
      <w:pPr>
        <w:pStyle w:val="BodyText"/>
        <w:spacing w:line="292" w:lineRule="auto" w:before="204"/>
        <w:ind w:left="104" w:right="763"/>
      </w:pPr>
      <w:r>
        <w:rPr>
          <w:color w:val="6E6158"/>
        </w:rPr>
        <w:t>Prior to joining Fennemore, Sam worked for the United States Senate and Arizona Chamber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Commerce and Industry. He also externed with the State of Arizona Governor’s Office of</w:t>
      </w:r>
      <w:r>
        <w:rPr>
          <w:color w:val="6E6158"/>
          <w:spacing w:val="40"/>
        </w:rPr>
        <w:t> </w:t>
      </w:r>
      <w:r>
        <w:rPr>
          <w:color w:val="6E6158"/>
        </w:rPr>
        <w:t>General Counsel and the Maricopa County Attorney’s Office.</w:t>
      </w:r>
    </w:p>
    <w:p>
      <w:pPr>
        <w:pStyle w:val="BodyText"/>
        <w:spacing w:line="297" w:lineRule="auto" w:before="198"/>
        <w:ind w:left="104" w:right="626"/>
      </w:pPr>
      <w:r>
        <w:rPr>
          <w:color w:val="6E6158"/>
        </w:rPr>
        <w:t>Outside of work, Sam enjoys spending time with his wife and their two dogs, watching </w:t>
      </w:r>
      <w:r>
        <w:rPr>
          <w:color w:val="6E6158"/>
        </w:rPr>
        <w:t>college</w:t>
      </w:r>
      <w:r>
        <w:rPr>
          <w:color w:val="6E6158"/>
          <w:spacing w:val="40"/>
        </w:rPr>
        <w:t> </w:t>
      </w:r>
      <w:r>
        <w:rPr>
          <w:color w:val="6E6158"/>
        </w:rPr>
        <w:t>sports, reading, and exploring the outdoors. Sam also serves on the board of a local charter</w:t>
      </w:r>
      <w:r>
        <w:rPr>
          <w:color w:val="6E6158"/>
          <w:spacing w:val="40"/>
        </w:rPr>
        <w:t> </w:t>
      </w:r>
      <w:r>
        <w:rPr>
          <w:color w:val="6E6158"/>
        </w:rPr>
        <w:t>school and its management company.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152526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92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7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278" w:lineRule="auto" w:before="170"/>
        <w:ind w:right="62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173987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9808pt;width:1.65pt;height:1.65pt;mso-position-horizontal-relative:page;mso-position-vertical-relative:paragraph;z-index:15729664" id="docshape8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Finance and Entrepreneurship University of Arizona, Eller College of Management,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z w:val="20"/>
        </w:rPr>
        <w:t> cum laude</w:t>
      </w:r>
    </w:p>
    <w:p>
      <w:pPr>
        <w:pStyle w:val="BodyText"/>
        <w:spacing w:line="420" w:lineRule="auto" w:before="133"/>
        <w:ind w:right="74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144008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926pt;width:1.65pt;height:1.65pt;mso-position-horizontal-relative:page;mso-position-vertical-relative:paragraph;z-index:15730176" id="docshape9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402374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8301pt;width:1.65pt;height:1.65pt;mso-position-horizontal-relative:page;mso-position-vertical-relative:paragraph;z-index:15730688" id="docshape10" coordorigin="1675,634" coordsize="33,33" path="m1696,666l1687,666,1683,665,1676,658,1675,654,1675,645,1676,642,1683,635,1687,634,1696,634,1699,635,1706,642,1707,645,1707,650,1707,654,1706,658,1699,665,1696,6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Coif 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Barristers</w:t>
      </w:r>
    </w:p>
    <w:p>
      <w:pPr>
        <w:spacing w:line="408" w:lineRule="auto" w:before="7"/>
        <w:ind w:left="356" w:right="2654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63711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666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322077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415pt;width:1.65pt;height:1.65pt;mso-position-horizontal-relative:page;mso-position-vertical-relative:paragraph;z-index:15731712" id="docshape1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Chairman, Arizona State University, Executive Moot Court </w:t>
      </w:r>
      <w:r>
        <w:rPr>
          <w:color w:val="6E6158"/>
          <w:sz w:val="19"/>
        </w:rPr>
        <w:t>Board Associate Editor, </w:t>
      </w:r>
      <w:r>
        <w:rPr>
          <w:i/>
          <w:color w:val="6E6158"/>
          <w:sz w:val="20"/>
        </w:rPr>
        <w:t>Arizona State University Law Journal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4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152471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662pt;width:1.65pt;height:1.65pt;mso-position-horizontal-relative:page;mso-position-vertical-relative:paragraph;z-index:15732224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410837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9411pt;width:1.65pt;height:1.65pt;mso-position-horizontal-relative:page;mso-position-vertical-relative:paragraph;z-index:15732736" id="docshape1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420" w:lineRule="auto" w:before="7"/>
        <w:ind w:right="58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63919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068pt;width:1.65pt;height:1.65pt;mso-position-horizontal-relative:page;mso-position-vertical-relative:paragraph;z-index:15733248" id="docshape1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322285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6818pt;width:1.65pt;height:1.65pt;mso-position-horizontal-relative:page;mso-position-vertical-relative:paragraph;z-index:15733760" id="docshape16" coordorigin="1675,508" coordsize="33,33" path="m1696,540l1687,540,1683,538,1676,532,1675,528,1675,519,1676,515,1683,509,1687,508,1696,508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Venture Accelerator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58465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3599pt;width:1.65pt;height:1.65pt;mso-position-horizontal-relative:page;mso-position-vertical-relative:paragraph;z-index:15734272" id="docshape1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74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784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5296" id="docshape19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06pt;width:1.65pt;height:1.65pt;mso-position-horizontal-relative:page;mso-position-vertical-relative:paragraph;z-index:15735808" id="docshape20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Litigation Trusts &amp; Estates Cannabis </w:t>
      </w:r>
      <w:r>
        <w:rPr>
          <w:color w:val="6E6158"/>
        </w:rPr>
        <w:t>Business</w:t>
      </w:r>
    </w:p>
    <w:p>
      <w:pPr>
        <w:pStyle w:val="Heading1"/>
        <w:spacing w:before="3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152833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107pt;width:1.65pt;height:1.65pt;mso-position-horizontal-relative:page;mso-position-vertical-relative:paragraph;z-index:15736320" id="docshape2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Fortune</w:t>
      </w:r>
      <w:r>
        <w:rPr>
          <w:color w:val="6E6158"/>
          <w:spacing w:val="14"/>
        </w:rPr>
        <w:t> </w:t>
      </w:r>
      <w:r>
        <w:rPr>
          <w:color w:val="6E6158"/>
        </w:rPr>
        <w:t>500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corporate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contract</w:t>
      </w:r>
      <w:r>
        <w:rPr>
          <w:color w:val="6E6158"/>
          <w:spacing w:val="14"/>
        </w:rPr>
        <w:t> </w:t>
      </w:r>
      <w:r>
        <w:rPr>
          <w:color w:val="6E6158"/>
        </w:rPr>
        <w:t>negotiation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line="292" w:lineRule="auto" w:before="174"/>
        <w:ind w:right="6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169927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152pt;width:1.65pt;height:1.65pt;mso-position-horizontal-relative:page;mso-position-vertical-relative:paragraph;z-index:15736832" id="docshape2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numerous clients in the formation and funding of new entities, as well as drafting</w:t>
      </w:r>
      <w:r>
        <w:rPr>
          <w:color w:val="6E6158"/>
          <w:spacing w:val="40"/>
        </w:rPr>
        <w:t> </w:t>
      </w:r>
      <w:r>
        <w:rPr>
          <w:color w:val="6E6158"/>
        </w:rPr>
        <w:t>their governance documents.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142887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pt;width:1.65pt;height:1.65pt;mso-position-horizontal-relative:page;mso-position-vertical-relative:paragraph;z-index:15737344" id="docshape2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venture</w:t>
      </w:r>
      <w:r>
        <w:rPr>
          <w:color w:val="6E6158"/>
          <w:spacing w:val="13"/>
        </w:rPr>
        <w:t> </w:t>
      </w:r>
      <w:r>
        <w:rPr>
          <w:color w:val="6E6158"/>
        </w:rPr>
        <w:t>capital</w:t>
      </w:r>
      <w:r>
        <w:rPr>
          <w:color w:val="6E6158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various</w:t>
      </w:r>
      <w:r>
        <w:rPr>
          <w:color w:val="6E6158"/>
          <w:spacing w:val="13"/>
        </w:rPr>
        <w:t> </w:t>
      </w:r>
      <w:r>
        <w:rPr>
          <w:color w:val="6E6158"/>
        </w:rPr>
        <w:t>convertible</w:t>
      </w:r>
      <w:r>
        <w:rPr>
          <w:color w:val="6E6158"/>
          <w:spacing w:val="13"/>
        </w:rPr>
        <w:t> </w:t>
      </w:r>
      <w:r>
        <w:rPr>
          <w:color w:val="6E6158"/>
        </w:rPr>
        <w:t>debt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investments.</w:t>
      </w:r>
    </w:p>
    <w:p>
      <w:pPr>
        <w:pStyle w:val="BodyText"/>
        <w:spacing w:line="292" w:lineRule="auto" w:before="174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170142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044pt;width:1.65pt;height:1.65pt;mso-position-horizontal-relative:page;mso-position-vertical-relative:paragraph;z-index:15737856" id="docshape24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private equity fund in the acquisition and sale of operating companies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related real estate.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137934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017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private foundation regarding the tax implications of certain investments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operations.</w:t>
      </w:r>
    </w:p>
    <w:p>
      <w:pPr>
        <w:pStyle w:val="BodyText"/>
        <w:spacing w:line="292" w:lineRule="auto" w:before="113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131445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049pt;width:1.65pt;height:1.65pt;mso-position-horizontal-relative:page;mso-position-vertical-relative:paragraph;z-index:15738880" id="docshape26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commercial development company in an asset purchase with a </w:t>
      </w:r>
      <w:r>
        <w:rPr>
          <w:color w:val="6E6158"/>
        </w:rPr>
        <w:t>national </w:t>
      </w:r>
      <w:r>
        <w:rPr>
          <w:color w:val="6E6158"/>
          <w:spacing w:val="-2"/>
        </w:rPr>
        <w:t>competitor.</w:t>
      </w:r>
    </w:p>
    <w:p>
      <w:pPr>
        <w:pStyle w:val="BodyText"/>
        <w:spacing w:line="292" w:lineRule="auto" w:before="132"/>
        <w:ind w:righ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143140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898pt;width:1.65pt;height:1.65pt;mso-position-horizontal-relative:page;mso-position-vertical-relative:paragraph;z-index:15739392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medical supply and pharmaceutical company in a merger transaction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an international buyer.</w:t>
      </w:r>
    </w:p>
    <w:p>
      <w:pPr>
        <w:pStyle w:val="BodyText"/>
        <w:spacing w:line="292" w:lineRule="auto" w:before="123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137602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871pt;width:1.65pt;height:1.65pt;mso-position-horizontal-relative:page;mso-position-vertical-relative:paragraph;z-index:15739904" id="docshape2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medical services company in connection with its purchase by an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buyer.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142947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5719pt;width:1.65pt;height:1.65pt;mso-position-horizontal-relative:page;mso-position-vertical-relative:paragraph;z-index:15740416" id="docshape2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medical</w:t>
      </w:r>
      <w:r>
        <w:rPr>
          <w:color w:val="6E6158"/>
          <w:spacing w:val="12"/>
        </w:rPr>
        <w:t> </w:t>
      </w:r>
      <w:r>
        <w:rPr>
          <w:color w:val="6E6158"/>
        </w:rPr>
        <w:t>professionals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structure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sale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operations.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152841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731pt;width:1.65pt;height:1.65pt;mso-position-horizontal-relative:page;mso-position-vertical-relative:paragraph;z-index:15740928" id="docshape3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168500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7738pt;width:1.65pt;height:1.65pt;mso-position-horizontal-relative:page;mso-position-vertical-relative:paragraph;z-index:15741440" id="docshape3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Business/Corporate,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152778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806pt;width:1.65pt;height:1.65pt;mso-position-horizontal-relative:page;mso-position-vertical-relative:paragraph;z-index:15741952" id="docshape3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“If you dread going into work at the start of each week, get a different job,”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Fennemore Blog, December 2, 2021</w:t>
        </w:r>
      </w:hyperlink>
    </w:p>
    <w:p>
      <w:pPr>
        <w:pStyle w:val="BodyText"/>
        <w:spacing w:line="297" w:lineRule="auto" w:before="123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137716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78pt;width:1.65pt;height:1.65pt;mso-position-horizontal-relative:page;mso-position-vertical-relative:paragraph;z-index:15742464" id="docshape33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Alert, March 20, 2020</w:t>
        </w:r>
      </w:hyperlink>
    </w:p>
    <w:p>
      <w:pPr>
        <w:pStyle w:val="BodyText"/>
        <w:spacing w:before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134571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6189pt;width:1.65pt;height:1.65pt;mso-position-horizontal-relative:page;mso-position-vertical-relative:paragraph;z-index:15742976" id="docshape34" coordorigin="1675,212" coordsize="33,33" path="m1696,244l1687,244,1683,243,1676,237,1675,233,1675,224,1676,220,1683,214,1687,212,1696,212,1699,214,1706,220,1707,224,1707,228,1707,233,1706,237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5"/>
        </w:rPr>
        <w:t> </w:t>
      </w:r>
      <w:r>
        <w:rPr>
          <w:color w:val="6E6158"/>
        </w:rPr>
        <w:t>“What</w:t>
      </w:r>
      <w:r>
        <w:rPr>
          <w:color w:val="6E6158"/>
          <w:spacing w:val="5"/>
        </w:rPr>
        <w:t> </w:t>
      </w:r>
      <w:r>
        <w:rPr>
          <w:color w:val="6E6158"/>
        </w:rPr>
        <w:t>You</w:t>
      </w:r>
      <w:r>
        <w:rPr>
          <w:color w:val="6E6158"/>
          <w:spacing w:val="6"/>
        </w:rPr>
        <w:t> </w:t>
      </w:r>
      <w:r>
        <w:rPr>
          <w:color w:val="6E6158"/>
        </w:rPr>
        <w:t>Need</w:t>
      </w:r>
      <w:r>
        <w:rPr>
          <w:color w:val="6E6158"/>
          <w:spacing w:val="5"/>
        </w:rPr>
        <w:t> </w:t>
      </w:r>
      <w:r>
        <w:rPr>
          <w:color w:val="6E6158"/>
        </w:rPr>
        <w:t>to</w:t>
      </w:r>
      <w:r>
        <w:rPr>
          <w:color w:val="6E6158"/>
          <w:spacing w:val="5"/>
        </w:rPr>
        <w:t> </w:t>
      </w:r>
      <w:r>
        <w:rPr>
          <w:color w:val="6E6158"/>
        </w:rPr>
        <w:t>Know</w:t>
      </w:r>
      <w:r>
        <w:rPr>
          <w:color w:val="6E6158"/>
          <w:spacing w:val="6"/>
        </w:rPr>
        <w:t> </w:t>
      </w:r>
      <w:r>
        <w:rPr>
          <w:color w:val="6E6158"/>
        </w:rPr>
        <w:t>About</w:t>
      </w:r>
      <w:r>
        <w:rPr>
          <w:color w:val="6E6158"/>
          <w:spacing w:val="5"/>
        </w:rPr>
        <w:t> </w:t>
      </w:r>
      <w:r>
        <w:rPr>
          <w:color w:val="6E6158"/>
        </w:rPr>
        <w:t>Opportunity</w:t>
      </w:r>
      <w:r>
        <w:rPr>
          <w:color w:val="6E6158"/>
          <w:spacing w:val="5"/>
        </w:rPr>
        <w:t> </w:t>
      </w:r>
      <w:r>
        <w:rPr>
          <w:color w:val="6E6158"/>
        </w:rPr>
        <w:t>Zone</w:t>
      </w:r>
      <w:r>
        <w:rPr>
          <w:color w:val="6E6158"/>
          <w:spacing w:val="6"/>
        </w:rPr>
        <w:t> </w:t>
      </w:r>
      <w:r>
        <w:rPr>
          <w:color w:val="6E6158"/>
        </w:rPr>
        <w:t>Funds,”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Press,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May</w:t>
      </w:r>
      <w:r>
        <w:rPr>
          <w:color w:val="6E6158"/>
          <w:spacing w:val="5"/>
        </w:rPr>
        <w:t> </w:t>
      </w:r>
      <w:r>
        <w:rPr>
          <w:color w:val="6E6158"/>
        </w:rPr>
        <w:t>5,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2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168645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9197pt;width:1.65pt;height:1.65pt;mso-position-horizontal-relative:page;mso-position-vertical-relative:paragraph;z-index:15743488" id="docshape35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“What You Need to Know About Opportunity Zone Funds,” Fennemore Client Alert,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April 30, 2019</w:t>
        </w:r>
      </w:hyperlink>
    </w:p>
    <w:p>
      <w:pPr>
        <w:pStyle w:val="BodyText"/>
        <w:spacing w:line="288" w:lineRule="auto" w:before="121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142875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045pt;width:1.65pt;height:1.65pt;mso-position-horizontal-relative:page;mso-position-vertical-relative:paragraph;z-index:15744000" id="docshape3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“What You Need to Know About Opportunity Zone Funds,”</w:t>
        </w:r>
      </w:hyperlink>
      <w:r>
        <w:rPr>
          <w:color w:val="FF8100"/>
        </w:rPr>
        <w:t> </w:t>
      </w:r>
      <w:hyperlink r:id="rId14">
        <w:r>
          <w:rPr>
            <w:i/>
            <w:color w:val="FF8100"/>
            <w:sz w:val="20"/>
          </w:rPr>
          <w:t>Inside Sources</w:t>
        </w:r>
      </w:hyperlink>
      <w:hyperlink r:id="rId14">
        <w:r>
          <w:rPr>
            <w:color w:val="FF8100"/>
          </w:rPr>
          <w:t>, April 29,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4"/>
          </w:rPr>
          <w:t>2019</w:t>
        </w:r>
      </w:hyperlink>
    </w:p>
    <w:p>
      <w:pPr>
        <w:spacing w:line="285" w:lineRule="auto" w:before="118"/>
        <w:ind w:left="356" w:right="6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140897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4282pt;width:1.65pt;height:1.65pt;mso-position-horizontal-relative:page;mso-position-vertical-relative:paragraph;z-index:15744512" id="docshape37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line="292" w:lineRule="auto" w:before="126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139763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4964pt;width:1.65pt;height:1.65pt;mso-position-horizontal-relative:page;mso-position-vertical-relative:paragraph;z-index:15745024" id="docshape38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“IRS Proposes Eliminating Charitable Deduction for Donations to State Tuition </w:t>
        </w:r>
        <w:r>
          <w:rPr>
            <w:color w:val="FF8100"/>
          </w:rPr>
          <w:t>Tax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Credit Programs,” Fennemore Client Alert, August 24, 2018</w:t>
        </w:r>
      </w:hyperlink>
    </w:p>
    <w:p>
      <w:pPr>
        <w:pStyle w:val="BodyText"/>
        <w:spacing w:line="302" w:lineRule="auto" w:before="124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138035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937pt;width:1.65pt;height:1.65pt;mso-position-horizontal-relative:page;mso-position-vertical-relative:paragraph;z-index:15745536" id="docshape3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“Qualified Opportunity Zones: A New Program Allowing Taxpayers to Defer or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Eliminate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Capital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Gains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When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Investing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Economically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Disadvantaged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Areas,”</w:t>
        </w:r>
        <w:r>
          <w:rPr>
            <w:color w:val="FF8100"/>
            <w:spacing w:val="21"/>
          </w:rPr>
          <w:t> </w:t>
        </w:r>
        <w:r>
          <w:rPr>
            <w:color w:val="FF8100"/>
          </w:rPr>
          <w:t>Fennemore</w:t>
        </w:r>
      </w:hyperlink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hyperlink r:id="rId16">
        <w:r>
          <w:rPr>
            <w:color w:val="FF8100"/>
          </w:rPr>
          <w:t>Client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17,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302" w:lineRule="auto" w:before="174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6048" id="docshape4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“Arizona’s New LLC Act: Promoting Certainty and Protecting Freedom of </w:t>
      </w:r>
      <w:r>
        <w:rPr>
          <w:color w:val="6E6158"/>
        </w:rPr>
        <w:t>Contract: Part 1,” State Bar of Arizona 2018 Annual Convention, June 27, 2018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65pt;width:1.65pt;height:1.65pt;mso-position-horizontal-relative:page;mso-position-vertical-relative:paragraph;z-index:15746560" id="docshape4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6"/>
        </w:rPr>
        <w:t> </w:t>
      </w:r>
      <w:r>
        <w:rPr>
          <w:color w:val="6E6158"/>
        </w:rPr>
        <w:t>“Phoenix</w:t>
      </w:r>
      <w:r>
        <w:rPr>
          <w:color w:val="6E6158"/>
          <w:spacing w:val="7"/>
        </w:rPr>
        <w:t> </w:t>
      </w:r>
      <w:r>
        <w:rPr>
          <w:color w:val="6E6158"/>
        </w:rPr>
        <w:t>Tax</w:t>
      </w:r>
      <w:r>
        <w:rPr>
          <w:color w:val="6E6158"/>
          <w:spacing w:val="7"/>
        </w:rPr>
        <w:t> </w:t>
      </w:r>
      <w:r>
        <w:rPr>
          <w:color w:val="6E6158"/>
        </w:rPr>
        <w:t>Workshop,”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7"/>
        </w:rPr>
        <w:t> </w:t>
      </w:r>
      <w:r>
        <w:rPr>
          <w:color w:val="6E6158"/>
        </w:rPr>
        <w:t>Society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CPAs,</w:t>
      </w:r>
      <w:r>
        <w:rPr>
          <w:color w:val="6E6158"/>
          <w:spacing w:val="7"/>
        </w:rPr>
        <w:t> </w:t>
      </w:r>
      <w:r>
        <w:rPr>
          <w:color w:val="6E6158"/>
        </w:rPr>
        <w:t>June</w:t>
      </w:r>
      <w:r>
        <w:rPr>
          <w:color w:val="6E6158"/>
          <w:spacing w:val="7"/>
        </w:rPr>
        <w:t> </w:t>
      </w:r>
      <w:r>
        <w:rPr>
          <w:color w:val="6E6158"/>
        </w:rPr>
        <w:t>16,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2018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152742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942pt;width:1.65pt;height:1.65pt;mso-position-horizontal-relative:page;mso-position-vertical-relative:paragraph;z-index:15747072" id="docshape42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Company</w:t>
      </w:r>
      <w:r>
        <w:rPr>
          <w:color w:val="6E6158"/>
          <w:spacing w:val="7"/>
        </w:rPr>
        <w:t> </w:t>
      </w:r>
      <w:r>
        <w:rPr>
          <w:color w:val="6E6158"/>
        </w:rPr>
        <w:t>Mentor,</w:t>
      </w:r>
      <w:r>
        <w:rPr>
          <w:color w:val="6E6158"/>
          <w:spacing w:val="8"/>
        </w:rPr>
        <w:t> </w:t>
      </w:r>
      <w:r>
        <w:rPr>
          <w:color w:val="6E6158"/>
        </w:rPr>
        <w:t>Invest</w:t>
      </w:r>
      <w:r>
        <w:rPr>
          <w:color w:val="6E6158"/>
          <w:spacing w:val="8"/>
        </w:rPr>
        <w:t> </w:t>
      </w:r>
      <w:r>
        <w:rPr>
          <w:color w:val="6E6158"/>
        </w:rPr>
        <w:t>Southwest</w:t>
      </w:r>
      <w:r>
        <w:rPr>
          <w:color w:val="6E6158"/>
          <w:spacing w:val="8"/>
        </w:rPr>
        <w:t> </w:t>
      </w:r>
      <w:r>
        <w:rPr>
          <w:color w:val="6E6158"/>
        </w:rPr>
        <w:t>Venture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Madness</w:t>
      </w:r>
    </w:p>
    <w:p>
      <w:pPr>
        <w:pStyle w:val="BodyText"/>
        <w:spacing w:line="302" w:lineRule="auto" w:before="174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169836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987pt;width:1.65pt;height:1.65pt;mso-position-horizontal-relative:page;mso-position-vertical-relative:paragraph;z-index:15747584" id="docshape4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Revised Uniform Limited Liability Company Act </w:t>
      </w:r>
      <w:r>
        <w:rPr>
          <w:color w:val="6E6158"/>
        </w:rPr>
        <w:t>Legislative </w:t>
      </w:r>
      <w:r>
        <w:rPr>
          <w:color w:val="6E6158"/>
          <w:spacing w:val="-2"/>
        </w:rPr>
        <w:t>Committee</w:t>
      </w:r>
    </w:p>
    <w:p>
      <w:pPr>
        <w:pStyle w:val="BodyText"/>
        <w:spacing w:line="420" w:lineRule="auto" w:before="112"/>
        <w:ind w:right="58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130962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018pt;width:1.65pt;height:1.65pt;mso-position-horizontal-relative:page;mso-position-vertical-relative:paragraph;z-index:15748096" id="docshape4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389328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55767pt;width:1.65pt;height:1.65pt;mso-position-horizontal-relative:page;mso-position-vertical-relative:paragraph;z-index:15748608" id="docshape45" coordorigin="1675,613" coordsize="33,33" path="m1696,646l1687,646,1683,644,1676,638,1675,634,1675,625,1676,621,1683,615,1687,613,1696,613,1699,615,1706,621,1707,625,1707,629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647693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999516pt;width:1.65pt;height:1.65pt;mso-position-horizontal-relative:page;mso-position-vertical-relative:paragraph;z-index:15749120" id="docshape46" coordorigin="1675,1020" coordsize="33,33" path="m1696,1053l1687,1053,1683,1051,1676,1045,1675,1041,1675,1032,1676,1028,1683,1022,1687,1020,1696,1020,1699,1022,1706,1028,1707,1032,1707,1036,1707,1041,1706,1045,1699,1051,1696,10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Treasurer, Painted Rock </w:t>
      </w:r>
      <w:r>
        <w:rPr>
          <w:color w:val="6E6158"/>
        </w:rPr>
        <w:t>Academy Treasurer, Reid Traditional Schools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63496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69pt;width:1.65pt;height:1.65pt;mso-position-horizontal-relative:page;mso-position-vertical-relative:paragraph;z-index:15749632" id="docshape4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Treasurer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Prevent</w:t>
      </w:r>
      <w:r>
        <w:rPr>
          <w:color w:val="6E6158"/>
          <w:spacing w:val="10"/>
        </w:rPr>
        <w:t> </w:t>
      </w:r>
      <w:r>
        <w:rPr>
          <w:color w:val="6E6158"/>
        </w:rPr>
        <w:t>Child</w:t>
      </w:r>
      <w:r>
        <w:rPr>
          <w:color w:val="6E6158"/>
          <w:spacing w:val="10"/>
        </w:rPr>
        <w:t> </w:t>
      </w:r>
      <w:r>
        <w:rPr>
          <w:color w:val="6E6158"/>
        </w:rPr>
        <w:t>Abuse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152764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701pt;width:1.65pt;height:1.65pt;mso-position-horizontal-relative:page;mso-position-vertical-relative:paragraph;z-index:15750144" id="docshape4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efird@fennemorelaw.com" TargetMode="External"/><Relationship Id="rId11" Type="http://schemas.openxmlformats.org/officeDocument/2006/relationships/hyperlink" Target="https://www.fennemorelaw.com/if-you-dread-going-into-work-at-the-start-of-each-week-get-a-different-job/" TargetMode="External"/><Relationship Id="rId12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3" Type="http://schemas.openxmlformats.org/officeDocument/2006/relationships/hyperlink" Target="https://clientalert.fennemorecraig.com/opportunity_zones" TargetMode="External"/><Relationship Id="rId14" Type="http://schemas.openxmlformats.org/officeDocument/2006/relationships/hyperlink" Target="https://www.insidesources.com/what-you-need-to-know-about-opportunity-zone-funds/" TargetMode="External"/><Relationship Id="rId15" Type="http://schemas.openxmlformats.org/officeDocument/2006/relationships/hyperlink" Target="https://www.fennemorelaw.com/insights/newsletters/2018/irs-proposes-eliminating-charitable-deduction-for-donations-to-state-tuition-tax-credit-programs" TargetMode="External"/><Relationship Id="rId16" Type="http://schemas.openxmlformats.org/officeDocument/2006/relationships/hyperlink" Target="https://www.fennemorelaw.com/insights/newsletters/2018/qualified-opportunity-zones-a-new-program-allowing-taxpayers-to-defer-or-eliminate-capital-gains-when-investing-in-economically-disadvantaged-area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2025-01-02T06:48:53Z</dcterms:created>
  <dcterms:modified xsi:type="dcterms:W3CDTF">2025-01-02T06:48:53Z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