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90" w:right="78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SCOTT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H.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THOMAS</w:t>
                              </w:r>
                            </w:p>
                            <w:p>
                              <w:pPr>
                                <w:spacing w:before="48"/>
                                <w:ind w:left="790" w:right="79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790" w:right="79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90" w:right="79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602.916.5427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602.916.5627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90" w:right="79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sthomas@fennemorelaw.com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90" w:right="78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SCOTT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H.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THOMAS</w:t>
                        </w:r>
                      </w:p>
                      <w:p>
                        <w:pPr>
                          <w:spacing w:before="48"/>
                          <w:ind w:left="790" w:right="79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790" w:right="79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90" w:right="79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602.916.5427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602.916.5627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790" w:right="79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sthomas@fennemorelaw.com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SCOTT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H.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THOMAS</w:t>
      </w:r>
    </w:p>
    <w:p>
      <w:pPr>
        <w:pStyle w:val="BodyText"/>
        <w:spacing w:line="295" w:lineRule="auto"/>
        <w:ind w:left="104" w:right="651"/>
      </w:pPr>
      <w:r>
        <w:rPr>
          <w:color w:val="6E6158"/>
        </w:rPr>
        <w:t>Scott’s practice focuses primarily on regulatory compliance, administrative, enforcement and</w:t>
      </w:r>
      <w:r>
        <w:rPr>
          <w:color w:val="6E6158"/>
          <w:spacing w:val="40"/>
        </w:rPr>
        <w:t> </w:t>
      </w:r>
      <w:r>
        <w:rPr>
          <w:color w:val="6E6158"/>
        </w:rPr>
        <w:t>legislative</w:t>
      </w:r>
      <w:r>
        <w:rPr>
          <w:color w:val="6E6158"/>
          <w:spacing w:val="32"/>
        </w:rPr>
        <w:t> </w:t>
      </w:r>
      <w:r>
        <w:rPr>
          <w:color w:val="6E6158"/>
        </w:rPr>
        <w:t>issues.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practices</w:t>
      </w:r>
      <w:r>
        <w:rPr>
          <w:color w:val="6E6158"/>
          <w:spacing w:val="32"/>
        </w:rPr>
        <w:t> </w:t>
      </w:r>
      <w:r>
        <w:rPr>
          <w:color w:val="6E6158"/>
        </w:rPr>
        <w:t>environmental</w:t>
      </w:r>
      <w:r>
        <w:rPr>
          <w:color w:val="6E6158"/>
          <w:spacing w:val="32"/>
        </w:rPr>
        <w:t> </w:t>
      </w:r>
      <w:r>
        <w:rPr>
          <w:color w:val="6E6158"/>
        </w:rPr>
        <w:t>law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an</w:t>
      </w:r>
      <w:r>
        <w:rPr>
          <w:color w:val="6E6158"/>
          <w:spacing w:val="32"/>
        </w:rPr>
        <w:t> </w:t>
      </w:r>
      <w:r>
        <w:rPr>
          <w:color w:val="6E6158"/>
        </w:rPr>
        <w:t>emphasis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surface</w:t>
      </w:r>
      <w:r>
        <w:rPr>
          <w:color w:val="6E6158"/>
          <w:spacing w:val="32"/>
        </w:rPr>
        <w:t> </w:t>
      </w:r>
      <w:r>
        <w:rPr>
          <w:color w:val="6E6158"/>
        </w:rPr>
        <w:t>water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</w:rPr>
        <w:t> ground water quality issues, including NPDES/AZPDES permits, Section 404 dredge and fill permits,</w:t>
      </w:r>
      <w:r>
        <w:rPr>
          <w:color w:val="6E6158"/>
          <w:spacing w:val="40"/>
        </w:rPr>
        <w:t> </w:t>
      </w:r>
      <w:r>
        <w:rPr>
          <w:color w:val="6E6158"/>
        </w:rPr>
        <w:t>surface water quality standards, and Arizona aquifer protection permits.</w:t>
      </w:r>
    </w:p>
    <w:p>
      <w:pPr>
        <w:pStyle w:val="BodyText"/>
        <w:spacing w:line="297" w:lineRule="auto" w:before="197"/>
        <w:ind w:left="104" w:right="691"/>
      </w:pPr>
      <w:r>
        <w:rPr>
          <w:color w:val="6E6158"/>
        </w:rPr>
        <w:t>Scott also has experience working on matters involving solid and hazardous waste, </w:t>
      </w:r>
      <w:r>
        <w:rPr>
          <w:color w:val="6E6158"/>
        </w:rPr>
        <w:t>underground</w:t>
      </w:r>
      <w:r>
        <w:rPr>
          <w:color w:val="6E6158"/>
          <w:spacing w:val="40"/>
        </w:rPr>
        <w:t> </w:t>
      </w:r>
      <w:r>
        <w:rPr>
          <w:color w:val="6E6158"/>
        </w:rPr>
        <w:t>storage</w:t>
      </w:r>
      <w:r>
        <w:rPr>
          <w:color w:val="6E6158"/>
          <w:spacing w:val="38"/>
        </w:rPr>
        <w:t> </w:t>
      </w:r>
      <w:r>
        <w:rPr>
          <w:color w:val="6E6158"/>
        </w:rPr>
        <w:t>tank,</w:t>
      </w:r>
      <w:r>
        <w:rPr>
          <w:color w:val="6E6158"/>
          <w:spacing w:val="38"/>
        </w:rPr>
        <w:t> </w:t>
      </w:r>
      <w:r>
        <w:rPr>
          <w:color w:val="6E6158"/>
        </w:rPr>
        <w:t>environmental</w:t>
      </w:r>
      <w:r>
        <w:rPr>
          <w:color w:val="6E6158"/>
          <w:spacing w:val="38"/>
        </w:rPr>
        <w:t> </w:t>
      </w:r>
      <w:r>
        <w:rPr>
          <w:color w:val="6E6158"/>
        </w:rPr>
        <w:t>due</w:t>
      </w:r>
      <w:r>
        <w:rPr>
          <w:color w:val="6E6158"/>
          <w:spacing w:val="38"/>
        </w:rPr>
        <w:t> </w:t>
      </w:r>
      <w:r>
        <w:rPr>
          <w:color w:val="6E6158"/>
        </w:rPr>
        <w:t>diligence,</w:t>
      </w:r>
      <w:r>
        <w:rPr>
          <w:color w:val="6E6158"/>
          <w:spacing w:val="38"/>
        </w:rPr>
        <w:t> </w:t>
      </w:r>
      <w:r>
        <w:rPr>
          <w:color w:val="6E6158"/>
        </w:rPr>
        <w:t>NEPA,</w:t>
      </w:r>
      <w:r>
        <w:rPr>
          <w:color w:val="6E6158"/>
          <w:spacing w:val="38"/>
        </w:rPr>
        <w:t> </w:t>
      </w:r>
      <w:r>
        <w:rPr>
          <w:color w:val="6E6158"/>
        </w:rPr>
        <w:t>Endangered</w:t>
      </w:r>
      <w:r>
        <w:rPr>
          <w:color w:val="6E6158"/>
          <w:spacing w:val="38"/>
        </w:rPr>
        <w:t> </w:t>
      </w:r>
      <w:r>
        <w:rPr>
          <w:color w:val="6E6158"/>
        </w:rPr>
        <w:t>Species</w:t>
      </w:r>
      <w:r>
        <w:rPr>
          <w:color w:val="6E6158"/>
          <w:spacing w:val="38"/>
        </w:rPr>
        <w:t> </w:t>
      </w:r>
      <w:r>
        <w:rPr>
          <w:color w:val="6E6158"/>
        </w:rPr>
        <w:t>Act,</w:t>
      </w:r>
      <w:r>
        <w:rPr>
          <w:color w:val="6E6158"/>
          <w:spacing w:val="38"/>
        </w:rPr>
        <w:t> </w:t>
      </w:r>
      <w:r>
        <w:rPr>
          <w:color w:val="6E6158"/>
        </w:rPr>
        <w:t>TSCA, environmental auditing and TRI/EPCRA matters.</w:t>
      </w:r>
    </w:p>
    <w:p>
      <w:pPr>
        <w:pStyle w:val="BodyText"/>
        <w:spacing w:line="297" w:lineRule="auto" w:before="191"/>
        <w:ind w:left="104" w:right="691"/>
      </w:pPr>
      <w:r>
        <w:rPr>
          <w:color w:val="6E6158"/>
        </w:rPr>
        <w:t>He is particularly proud of the strong relationships he forges with his clients, some of whom he’s</w:t>
      </w:r>
      <w:r>
        <w:rPr>
          <w:color w:val="6E6158"/>
          <w:spacing w:val="40"/>
        </w:rPr>
        <w:t> </w:t>
      </w:r>
      <w:r>
        <w:rPr>
          <w:color w:val="6E6158"/>
        </w:rPr>
        <w:t>worked with for decades. When he’s not working, Scott enjoys reading, traveling, hiking and</w:t>
      </w:r>
      <w:r>
        <w:rPr>
          <w:color w:val="6E6158"/>
          <w:spacing w:val="40"/>
        </w:rPr>
        <w:t> </w:t>
      </w:r>
      <w:r>
        <w:rPr>
          <w:color w:val="6E6158"/>
        </w:rPr>
        <w:t>watching sports.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152723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438pt;width:1.65pt;height:1.65pt;mso-position-horizontal-relative:page;mso-position-vertical-relative:paragraph;z-index:15729152" id="docshape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Virginia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12" w:lineRule="auto" w:before="174"/>
        <w:ind w:right="49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169817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483pt;width:1.65pt;height:1.65pt;mso-position-horizontal-relative:page;mso-position-vertical-relative:paragraph;z-index:15729664" id="docshape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433350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108pt;width:1.65pt;height:1.65pt;mso-position-horizontal-relative:page;mso-position-vertical-relative:paragraph;z-index:15730176" id="docshape9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691716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65855pt;width:1.65pt;height:1.65pt;mso-position-horizontal-relative:page;mso-position-vertical-relative:paragraph;z-index:15730688" id="docshape10" coordorigin="1675,1089" coordsize="33,33" path="m1696,1122l1687,1122,1683,1120,1676,1114,1675,1110,1675,1101,1676,1097,1683,1091,1687,1089,1696,1089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with high distinction, University of </w:t>
      </w:r>
      <w:r>
        <w:rPr>
          <w:color w:val="6E6158"/>
        </w:rPr>
        <w:t>Virginia</w:t>
      </w:r>
      <w:r>
        <w:rPr>
          <w:color w:val="6E6158"/>
        </w:rPr>
        <w:t> Notes Editor, </w:t>
      </w:r>
      <w:r>
        <w:rPr>
          <w:i/>
          <w:color w:val="6E6158"/>
          <w:sz w:val="20"/>
        </w:rPr>
        <w:t>Virginia Law Review, </w:t>
      </w:r>
      <w:r>
        <w:rPr>
          <w:color w:val="6E6158"/>
        </w:rPr>
        <w:t>1987-1988 Phi Beta Kappa</w:t>
      </w:r>
    </w:p>
    <w:p>
      <w:pPr>
        <w:pStyle w:val="Heading1"/>
        <w:spacing w:before="167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 w:before="0"/>
        <w:ind w:right="76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59637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5852pt;width:1.65pt;height:1.65pt;mso-position-horizontal-relative:page;mso-position-vertical-relative:paragraph;z-index:15731200" id="docshape11" coordorigin="1675,94" coordsize="33,33" path="m1696,126l1687,126,1683,125,1676,119,1675,115,1675,106,1676,102,1683,96,1687,94,1696,94,1699,96,1706,102,1707,106,1707,110,1707,115,1706,119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318002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9602pt;width:1.65pt;height:1.65pt;mso-position-horizontal-relative:page;mso-position-vertical-relative:paragraph;z-index:15731712" id="docshape12" coordorigin="1675,501" coordsize="33,33" path="m1696,533l1687,533,1683,532,1676,525,1675,522,1675,513,1676,509,1683,502,1687,501,1696,501,1699,502,1706,509,1707,513,1707,517,1707,522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Environmental </w:t>
      </w:r>
      <w:r>
        <w:rPr>
          <w:color w:val="6E6158"/>
        </w:rPr>
        <w:t>Land Use</w:t>
      </w:r>
    </w:p>
    <w:p>
      <w:pPr>
        <w:pStyle w:val="BodyText"/>
        <w:spacing w:line="427" w:lineRule="auto" w:before="0"/>
        <w:ind w:right="5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58628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6383pt;width:1.65pt;height:1.65pt;mso-position-horizontal-relative:page;mso-position-vertical-relative:paragraph;z-index:15732224" id="docshape1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322161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7008pt;width:1.65pt;height:1.65pt;mso-position-horizontal-relative:page;mso-position-vertical-relative:paragraph;z-index:15732736" id="docshape14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Renewable Energy and Clean </w:t>
      </w:r>
      <w:r>
        <w:rPr>
          <w:color w:val="6E6158"/>
        </w:rPr>
        <w:t>Tech Natural Resources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21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7" w:lineRule="auto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3760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Secured formal determinations from the Corps of Engineers that no jurisdictional waters under</w:t>
      </w:r>
      <w:r>
        <w:rPr>
          <w:color w:val="6E6158"/>
          <w:spacing w:val="40"/>
        </w:rPr>
        <w:t> </w:t>
      </w:r>
      <w:r>
        <w:rPr>
          <w:color w:val="6E6158"/>
        </w:rPr>
        <w:t>the Clean Water Act existed in the area of proposed mine expansions, allowing those expansions to proceed without the need for federal permits.</w:t>
      </w:r>
    </w:p>
    <w:p>
      <w:pPr>
        <w:pStyle w:val="BodyText"/>
        <w:spacing w:line="292" w:lineRule="auto" w:before="118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134547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4322pt;width:1.65pt;height:1.65pt;mso-position-horizontal-relative:page;mso-position-vertical-relative:paragraph;z-index:15734272" id="docshape17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Oversaw multiple cycles of a comprehensive environmental audit program for a </w:t>
      </w:r>
      <w:r>
        <w:rPr>
          <w:color w:val="6E6158"/>
        </w:rPr>
        <w:t>company</w:t>
      </w:r>
      <w:r>
        <w:rPr>
          <w:color w:val="6E6158"/>
          <w:spacing w:val="40"/>
        </w:rPr>
        <w:t> </w:t>
      </w:r>
      <w:r>
        <w:rPr>
          <w:color w:val="6E6158"/>
        </w:rPr>
        <w:t>with sites in Arizona and Texas.</w:t>
      </w:r>
    </w:p>
    <w:p>
      <w:pPr>
        <w:pStyle w:val="BodyText"/>
        <w:spacing w:line="292" w:lineRule="auto" w:before="132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143067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17pt;width:1.65pt;height:1.65pt;mso-position-horizontal-relative:page;mso-position-vertical-relative:paragraph;z-index:15734784" id="docshape1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numerous mining, industrial and real estate clients in securing necessary permits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facility construction and/or expansion. Examples include several large master-planned</w:t>
      </w:r>
      <w:r>
        <w:rPr>
          <w:color w:val="6E6158"/>
          <w:spacing w:val="40"/>
        </w:rPr>
        <w:t> </w:t>
      </w:r>
      <w:r>
        <w:rPr>
          <w:color w:val="6E6158"/>
        </w:rPr>
        <w:t>communities in the Phoenix area and construction or expansion of numerous mining operations throughout the State.</w:t>
      </w:r>
    </w:p>
    <w:p>
      <w:pPr>
        <w:pStyle w:val="BodyText"/>
        <w:spacing w:line="292" w:lineRule="auto" w:before="132"/>
        <w:ind w:right="3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143470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6867pt;width:1.65pt;height:1.65pt;mso-position-horizontal-relative:page;mso-position-vertical-relative:paragraph;z-index:15735296" id="docshape19" coordorigin="1675,226" coordsize="33,33" path="m1696,258l1687,258,1683,257,1676,251,1675,247,1675,238,1676,234,1683,228,1687,226,1696,226,1699,228,1706,234,1707,238,1707,242,1707,247,1706,251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consent judgments or consent orders with the State of Arizona in numerous cases</w:t>
      </w:r>
      <w:r>
        <w:rPr>
          <w:color w:val="6E6158"/>
          <w:spacing w:val="40"/>
        </w:rPr>
        <w:t> </w:t>
      </w:r>
      <w:r>
        <w:rPr>
          <w:color w:val="6E6158"/>
        </w:rPr>
        <w:t>where regulated entities charged with violations of state law. In other cases, assisted clients</w:t>
      </w:r>
      <w:r>
        <w:rPr>
          <w:color w:val="6E6158"/>
          <w:spacing w:val="40"/>
        </w:rPr>
        <w:t> </w:t>
      </w:r>
      <w:r>
        <w:rPr>
          <w:color w:val="6E6158"/>
        </w:rPr>
        <w:t>alleged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have</w:t>
      </w:r>
      <w:r>
        <w:rPr>
          <w:color w:val="6E6158"/>
          <w:spacing w:val="16"/>
        </w:rPr>
        <w:t> </w:t>
      </w:r>
      <w:r>
        <w:rPr>
          <w:color w:val="6E6158"/>
        </w:rPr>
        <w:t>violated</w:t>
      </w:r>
      <w:r>
        <w:rPr>
          <w:color w:val="6E6158"/>
          <w:spacing w:val="16"/>
        </w:rPr>
        <w:t> </w:t>
      </w:r>
      <w:r>
        <w:rPr>
          <w:color w:val="6E6158"/>
        </w:rPr>
        <w:t>environmental</w:t>
      </w:r>
      <w:r>
        <w:rPr>
          <w:color w:val="6E6158"/>
          <w:spacing w:val="16"/>
        </w:rPr>
        <w:t> </w:t>
      </w:r>
      <w:r>
        <w:rPr>
          <w:color w:val="6E6158"/>
        </w:rPr>
        <w:t>laws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resolve</w:t>
      </w:r>
      <w:r>
        <w:rPr>
          <w:color w:val="6E6158"/>
          <w:spacing w:val="16"/>
        </w:rPr>
        <w:t> </w:t>
      </w:r>
      <w:r>
        <w:rPr>
          <w:color w:val="6E6158"/>
        </w:rPr>
        <w:t>those</w:t>
      </w:r>
      <w:r>
        <w:rPr>
          <w:color w:val="6E6158"/>
          <w:spacing w:val="16"/>
        </w:rPr>
        <w:t> </w:t>
      </w:r>
      <w:r>
        <w:rPr>
          <w:color w:val="6E6158"/>
        </w:rPr>
        <w:t>allegations</w:t>
      </w:r>
      <w:r>
        <w:rPr>
          <w:color w:val="6E6158"/>
          <w:spacing w:val="16"/>
        </w:rPr>
        <w:t> </w:t>
      </w:r>
      <w:r>
        <w:rPr>
          <w:color w:val="6E6158"/>
        </w:rPr>
        <w:t>without</w:t>
      </w:r>
      <w:r>
        <w:rPr>
          <w:color w:val="6E6158"/>
          <w:spacing w:val="16"/>
        </w:rPr>
        <w:t> </w:t>
      </w:r>
      <w:r>
        <w:rPr>
          <w:color w:val="6E6158"/>
        </w:rPr>
        <w:t>any</w:t>
      </w:r>
      <w:r>
        <w:rPr>
          <w:color w:val="6E6158"/>
          <w:spacing w:val="16"/>
        </w:rPr>
        <w:t> </w:t>
      </w:r>
      <w:r>
        <w:rPr>
          <w:color w:val="6E6158"/>
        </w:rPr>
        <w:t>penalty.</w:t>
      </w:r>
    </w:p>
    <w:p>
      <w:pPr>
        <w:pStyle w:val="BodyText"/>
        <w:spacing w:line="292" w:lineRule="auto" w:before="132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143486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814pt;width:1.65pt;height:1.65pt;mso-position-horizontal-relative:page;mso-position-vertical-relative:paragraph;z-index:15735808" id="docshape20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Provided due diligence on water quality issues and permitting issues for potential </w:t>
      </w:r>
      <w:r>
        <w:rPr>
          <w:color w:val="6E6158"/>
        </w:rPr>
        <w:t>buyers</w:t>
      </w:r>
      <w:r>
        <w:rPr>
          <w:color w:val="6E6158"/>
          <w:spacing w:val="40"/>
        </w:rPr>
        <w:t> </w:t>
      </w:r>
      <w:r>
        <w:rPr>
          <w:color w:val="6E6158"/>
        </w:rPr>
        <w:t>analyzing acquisitions of large mining and electrical generating facilities in Arizona 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Nevada.</w:t>
      </w:r>
    </w:p>
    <w:p>
      <w:pPr>
        <w:pStyle w:val="Heading1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152887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396pt;width:1.65pt;height:1.65pt;mso-position-horizontal-relative:page;mso-position-vertical-relative:paragraph;z-index:15736320" id="docshape2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Environmental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Natural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Resources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2025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173577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7496pt;width:1.65pt;height:1.65pt;mso-position-horizontal-relative:page;mso-position-vertical-relative:paragraph;z-index:15736832" id="docshape2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Environmental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168779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9721pt;width:1.65pt;height:1.65pt;mso-position-horizontal-relative:page;mso-position-vertical-relative:paragraph;z-index:15737344" id="docshape23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Natural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Resources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152970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915pt;width:1.65pt;height:1.65pt;mso-position-horizontal-relative:page;mso-position-vertical-relative:paragraph;z-index:15737856" id="docshape24" coordorigin="1675,241" coordsize="33,33" path="m1696,273l1687,273,1683,272,1676,266,1675,262,1675,253,1676,249,1683,242,1687,241,1696,241,1699,242,1706,249,1707,253,1707,257,1707,262,1706,266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“EPA and Army Corps Finalize Latest Rule Attempting to Define “Waters of the United States” Under the Clean Water Act,” Fennemore Client Alert, 2022</w:t>
      </w:r>
    </w:p>
    <w:p>
      <w:pPr>
        <w:pStyle w:val="BodyText"/>
        <w:spacing w:line="292" w:lineRule="auto" w:before="113"/>
        <w:ind w:right="6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131241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3947pt;width:1.65pt;height:1.65pt;mso-position-horizontal-relative:page;mso-position-vertical-relative:paragraph;z-index:15738368" id="docshape25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“Environmental Law Update,” State Bar of Arizona 2018 Annual Convention, June </w:t>
      </w:r>
      <w:r>
        <w:rPr>
          <w:color w:val="6E6158"/>
        </w:rPr>
        <w:t>27, </w:t>
      </w:r>
      <w:r>
        <w:rPr>
          <w:color w:val="6E6158"/>
          <w:spacing w:val="-4"/>
        </w:rPr>
        <w:t>2018</w:t>
      </w:r>
    </w:p>
    <w:p>
      <w:pPr>
        <w:pStyle w:val="BodyText"/>
        <w:spacing w:line="302" w:lineRule="auto" w:before="123"/>
        <w:ind w:right="6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137768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792pt;width:1.65pt;height:1.65pt;mso-position-horizontal-relative:page;mso-position-vertical-relative:paragraph;z-index:15738880" id="docshape2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“2017 Environmental Law Update,” 2017 State Bar of Arizona Annual </w:t>
      </w:r>
      <w:r>
        <w:rPr>
          <w:color w:val="6E6158"/>
        </w:rPr>
        <w:t>Convention, June 14, 2017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152816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81pt;width:1.65pt;height:1.65pt;mso-position-horizontal-relative:page;mso-position-vertical-relative:paragraph;z-index:15739392" id="docshape2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Vice-Chair,</w:t>
      </w:r>
      <w:r>
        <w:rPr>
          <w:color w:val="6E6158"/>
          <w:spacing w:val="17"/>
        </w:rPr>
        <w:t> </w:t>
      </w:r>
      <w:r>
        <w:rPr>
          <w:color w:val="6E6158"/>
        </w:rPr>
        <w:t>Arizona</w:t>
      </w:r>
      <w:r>
        <w:rPr>
          <w:color w:val="6E6158"/>
          <w:spacing w:val="18"/>
        </w:rPr>
        <w:t> </w:t>
      </w:r>
      <w:r>
        <w:rPr>
          <w:color w:val="6E6158"/>
        </w:rPr>
        <w:t>Mining</w:t>
      </w:r>
      <w:r>
        <w:rPr>
          <w:color w:val="6E6158"/>
          <w:spacing w:val="17"/>
        </w:rPr>
        <w:t> </w:t>
      </w:r>
      <w:r>
        <w:rPr>
          <w:color w:val="6E6158"/>
        </w:rPr>
        <w:t>Association</w:t>
      </w:r>
      <w:r>
        <w:rPr>
          <w:color w:val="6E6158"/>
          <w:spacing w:val="18"/>
        </w:rPr>
        <w:t> </w:t>
      </w:r>
      <w:r>
        <w:rPr>
          <w:color w:val="6E6158"/>
        </w:rPr>
        <w:t>Environment</w:t>
      </w:r>
      <w:r>
        <w:rPr>
          <w:color w:val="6E6158"/>
          <w:spacing w:val="18"/>
        </w:rPr>
        <w:t> </w:t>
      </w:r>
      <w:r>
        <w:rPr>
          <w:color w:val="6E6158"/>
        </w:rPr>
        <w:t>Committee,</w:t>
      </w:r>
      <w:r>
        <w:rPr>
          <w:color w:val="6E6158"/>
          <w:spacing w:val="17"/>
        </w:rPr>
        <w:t> </w:t>
      </w:r>
      <w:r>
        <w:rPr>
          <w:color w:val="6E6158"/>
        </w:rPr>
        <w:t>2014-</w:t>
      </w:r>
      <w:r>
        <w:rPr>
          <w:color w:val="6E6158"/>
          <w:spacing w:val="-2"/>
        </w:rPr>
        <w:t>present</w:t>
      </w:r>
    </w:p>
    <w:p>
      <w:pPr>
        <w:pStyle w:val="BodyText"/>
        <w:spacing w:line="302" w:lineRule="auto" w:before="174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169911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8855pt;width:1.65pt;height:1.65pt;mso-position-horizontal-relative:page;mso-position-vertical-relative:paragraph;z-index:15739904" id="docshape2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Council, Environmental and Natural Resources Law Section, State Bar </w:t>
      </w:r>
      <w:r>
        <w:rPr>
          <w:color w:val="6E6158"/>
        </w:rPr>
        <w:t>of Arizona, 2007-2013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131037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7886pt;width:1.65pt;height:1.65pt;mso-position-horizontal-relative:page;mso-position-vertical-relative:paragraph;z-index:15740416" id="docshape2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11"/>
        </w:rPr>
        <w:t> </w:t>
      </w:r>
      <w:r>
        <w:rPr>
          <w:color w:val="6E6158"/>
        </w:rPr>
        <w:t>Environmental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Natural</w:t>
      </w:r>
      <w:r>
        <w:rPr>
          <w:color w:val="6E6158"/>
          <w:spacing w:val="12"/>
        </w:rPr>
        <w:t> </w:t>
      </w:r>
      <w:r>
        <w:rPr>
          <w:color w:val="6E6158"/>
        </w:rPr>
        <w:t>Resources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Section,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Arizona,</w:t>
      </w:r>
      <w:r>
        <w:rPr>
          <w:color w:val="6E6158"/>
          <w:spacing w:val="12"/>
        </w:rPr>
        <w:t> </w:t>
      </w:r>
      <w:r>
        <w:rPr>
          <w:color w:val="6E6158"/>
        </w:rPr>
        <w:t>2011-</w:t>
      </w:r>
      <w:r>
        <w:rPr>
          <w:color w:val="6E6158"/>
          <w:spacing w:val="-4"/>
        </w:rPr>
        <w:t>2012</w:t>
      </w:r>
    </w:p>
    <w:p>
      <w:pPr>
        <w:pStyle w:val="BodyText"/>
        <w:spacing w:line="292" w:lineRule="auto" w:before="174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169721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931pt;width:1.65pt;height:1.65pt;mso-position-horizontal-relative:page;mso-position-vertical-relative:paragraph;z-index:15740928" id="docshape3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Department of Environmental Quality Review Committee, Governor’s </w:t>
      </w:r>
      <w:r>
        <w:rPr>
          <w:color w:val="6E6158"/>
        </w:rPr>
        <w:t>Office </w:t>
      </w:r>
      <w:r>
        <w:rPr>
          <w:color w:val="6E6158"/>
          <w:spacing w:val="-4"/>
        </w:rPr>
        <w:t>2010</w:t>
      </w:r>
    </w:p>
    <w:p>
      <w:pPr>
        <w:pStyle w:val="BodyText"/>
        <w:spacing w:line="292" w:lineRule="auto" w:before="131"/>
        <w:ind w:right="7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142681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4779pt;width:1.65pt;height:1.65pt;mso-position-horizontal-relative:page;mso-position-vertical-relative:paragraph;z-index:15741440" id="docshape31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Vice-Chair for publications, American Bar Association, Section of Environment, </w:t>
      </w:r>
      <w:r>
        <w:rPr>
          <w:color w:val="6E6158"/>
        </w:rPr>
        <w:t>Energy</w:t>
      </w:r>
      <w:r>
        <w:rPr>
          <w:color w:val="6E6158"/>
          <w:spacing w:val="40"/>
        </w:rPr>
        <w:t> </w:t>
      </w:r>
      <w:r>
        <w:rPr>
          <w:color w:val="6E6158"/>
        </w:rPr>
        <w:t>and Resources</w:t>
      </w:r>
    </w:p>
    <w:p>
      <w:pPr>
        <w:pStyle w:val="Heading1"/>
        <w:spacing w:before="284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1952" id="docshape3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42464" id="docshape3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175286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052pt;width:1.65pt;height:1.65pt;mso-position-horizontal-relative:page;mso-position-vertical-relative:paragraph;z-index:15742976" id="docshape3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thoma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2025-01-02T06:51:46Z</dcterms:created>
  <dcterms:modified xsi:type="dcterms:W3CDTF">2025-01-02T06:51:46Z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