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SEAN 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SABO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602.916.5638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ssabo@fennemorelaw.com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SEAN 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SABO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602.916.5638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ssabo@fennemorelaw.com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SEAN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4"/>
          <w:sz w:val="24"/>
        </w:rPr>
        <w:t>SABO</w:t>
      </w:r>
    </w:p>
    <w:p>
      <w:pPr>
        <w:pStyle w:val="BodyText"/>
        <w:spacing w:before="147"/>
        <w:ind w:left="104"/>
      </w:pPr>
      <w:r>
        <w:rPr>
          <w:color w:val="6E6158"/>
        </w:rPr>
        <w:t>Sean</w:t>
      </w:r>
      <w:r>
        <w:rPr>
          <w:color w:val="6E6158"/>
          <w:spacing w:val="9"/>
        </w:rPr>
        <w:t> </w:t>
      </w:r>
      <w:r>
        <w:rPr>
          <w:color w:val="6E6158"/>
        </w:rPr>
        <w:t>practices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areas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finance.</w:t>
      </w:r>
    </w:p>
    <w:p>
      <w:pPr>
        <w:pStyle w:val="BodyText"/>
        <w:spacing w:before="22"/>
        <w:ind w:left="0"/>
      </w:pPr>
    </w:p>
    <w:p>
      <w:pPr>
        <w:pStyle w:val="BodyText"/>
        <w:ind w:left="104"/>
      </w:pPr>
      <w:r>
        <w:rPr>
          <w:color w:val="6E6158"/>
        </w:rPr>
        <w:t>He</w:t>
      </w:r>
      <w:r>
        <w:rPr>
          <w:color w:val="6E6158"/>
          <w:spacing w:val="12"/>
        </w:rPr>
        <w:t> </w:t>
      </w:r>
      <w:r>
        <w:rPr>
          <w:color w:val="6E6158"/>
        </w:rPr>
        <w:t>represents</w:t>
      </w:r>
      <w:r>
        <w:rPr>
          <w:color w:val="6E6158"/>
          <w:spacing w:val="12"/>
        </w:rPr>
        <w:t> </w:t>
      </w:r>
      <w:r>
        <w:rPr>
          <w:color w:val="6E6158"/>
        </w:rPr>
        <w:t>developers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homebuilders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3"/>
        </w:rPr>
        <w:t> </w:t>
      </w:r>
      <w:r>
        <w:rPr>
          <w:color w:val="6E6158"/>
        </w:rPr>
        <w:t>aspects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estate,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acquisition,</w:t>
      </w:r>
    </w:p>
    <w:p>
      <w:pPr>
        <w:pStyle w:val="BodyText"/>
        <w:spacing w:line="292" w:lineRule="auto" w:before="52"/>
        <w:ind w:left="104" w:right="596"/>
      </w:pPr>
      <w:r>
        <w:rPr>
          <w:color w:val="6E6158"/>
        </w:rPr>
        <w:t>development, financing and sale. Sean also represents lenders and borrowers in the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documentation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loans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shopping</w:t>
      </w:r>
      <w:r>
        <w:rPr>
          <w:color w:val="6E6158"/>
          <w:spacing w:val="35"/>
        </w:rPr>
        <w:t> </w:t>
      </w:r>
      <w:r>
        <w:rPr>
          <w:color w:val="6E6158"/>
        </w:rPr>
        <w:t>centers,</w:t>
      </w:r>
      <w:r>
        <w:rPr>
          <w:color w:val="6E6158"/>
          <w:spacing w:val="35"/>
        </w:rPr>
        <w:t> </w:t>
      </w:r>
      <w:r>
        <w:rPr>
          <w:color w:val="6E6158"/>
        </w:rPr>
        <w:t>office</w:t>
      </w:r>
      <w:r>
        <w:rPr>
          <w:color w:val="6E6158"/>
          <w:spacing w:val="35"/>
        </w:rPr>
        <w:t> </w:t>
      </w:r>
      <w:r>
        <w:rPr>
          <w:color w:val="6E6158"/>
        </w:rPr>
        <w:t>complexes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</w:p>
    <w:p>
      <w:pPr>
        <w:pStyle w:val="BodyText"/>
        <w:spacing w:line="292" w:lineRule="auto" w:before="9"/>
        <w:ind w:left="104" w:right="596"/>
      </w:pPr>
      <w:r>
        <w:rPr>
          <w:color w:val="6E6158"/>
        </w:rPr>
        <w:t>projects. He also assists clients with real property issues related to receiverships, property management agreements and commercial leases.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Sean previously served as counsel to a developer with respect to financing associated with the</w:t>
      </w:r>
      <w:r>
        <w:rPr>
          <w:color w:val="6E6158"/>
          <w:spacing w:val="40"/>
        </w:rPr>
        <w:t> </w:t>
      </w:r>
      <w:r>
        <w:rPr>
          <w:color w:val="6E6158"/>
        </w:rPr>
        <w:t>construction of student housing at the University of Arizona.</w:t>
      </w:r>
    </w:p>
    <w:p>
      <w:pPr>
        <w:pStyle w:val="BodyText"/>
        <w:spacing w:before="204"/>
        <w:ind w:left="104"/>
      </w:pPr>
      <w:r>
        <w:rPr>
          <w:color w:val="6E6158"/>
        </w:rPr>
        <w:t>Outside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Sean</w:t>
      </w:r>
      <w:r>
        <w:rPr>
          <w:color w:val="6E6158"/>
          <w:spacing w:val="11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tennis,</w:t>
      </w:r>
      <w:r>
        <w:rPr>
          <w:color w:val="6E6158"/>
          <w:spacing w:val="11"/>
        </w:rPr>
        <w:t> </w:t>
      </w:r>
      <w:r>
        <w:rPr>
          <w:color w:val="6E6158"/>
        </w:rPr>
        <w:t>golf,</w:t>
      </w:r>
      <w:r>
        <w:rPr>
          <w:color w:val="6E6158"/>
          <w:spacing w:val="10"/>
        </w:rPr>
        <w:t> </w:t>
      </w:r>
      <w:r>
        <w:rPr>
          <w:color w:val="6E6158"/>
        </w:rPr>
        <w:t>hiking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traveling.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152387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05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2"/>
        </w:rPr>
        <w:t> </w:t>
      </w:r>
      <w:r>
        <w:rPr>
          <w:color w:val="6E6158"/>
        </w:rPr>
        <w:t>Pepperdine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170117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097pt;width:1.65pt;height:1.65pt;mso-position-horizontal-relative:page;mso-position-vertical-relative:paragraph;z-index:15729664" id="docshape8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Arizona</w:t>
      </w:r>
    </w:p>
    <w:p>
      <w:pPr>
        <w:spacing w:line="408" w:lineRule="auto" w:before="172"/>
        <w:ind w:left="356" w:right="52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175234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016pt;width:1.65pt;height:1.65pt;mso-position-horizontal-relative:page;mso-position-vertical-relative:paragraph;z-index:15730176" id="docshape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433600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766pt;width:1.65pt;height:1.65pt;mso-position-horizontal-relative:page;mso-position-vertical-relative:paragraph;z-index:15730688" id="docshape10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Marietta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z w:val="19"/>
        </w:rPr>
        <w:t> Phi Beta Kappa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59486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3983pt;width:1.65pt;height:1.65pt;mso-position-horizontal-relative:page;mso-position-vertical-relative:paragraph;z-index:15731200" id="docshape11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317852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7733pt;width:1.65pt;height:1.65pt;mso-position-horizontal-relative:page;mso-position-vertical-relative:paragraph;z-index:15731712" id="docshape12" coordorigin="1675,501" coordsize="33,33" path="m1696,533l1687,533,1683,532,1676,525,1675,521,1675,512,1676,508,1683,502,1687,501,1696,501,1699,502,1706,508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576217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71483pt;width:1.65pt;height:1.65pt;mso-position-horizontal-relative:page;mso-position-vertical-relative:paragraph;z-index:15732224" id="docshape13" coordorigin="1675,907" coordsize="33,33" path="m1696,940l1687,940,1683,938,1676,932,1675,928,1675,919,1676,915,1683,909,1687,907,1696,907,1699,909,1706,915,1707,919,1707,924,1707,928,1706,932,1699,938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and Real Estate </w:t>
      </w:r>
      <w:r>
        <w:rPr>
          <w:color w:val="6E6158"/>
        </w:rPr>
        <w:t>Finance 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Finance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Lending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57972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4779pt;width:1.65pt;height:1.65pt;mso-position-horizontal-relative:page;mso-position-vertical-relative:paragraph;z-index:15732736" id="docshape14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property owner in its development and sale of residential lots to national</w:t>
      </w:r>
      <w:r>
        <w:rPr>
          <w:color w:val="6E6158"/>
          <w:spacing w:val="40"/>
        </w:rPr>
        <w:t> </w:t>
      </w:r>
      <w:r>
        <w:rPr>
          <w:color w:val="6E6158"/>
        </w:rPr>
        <w:t>homebuilders within various master planned communities.</w:t>
      </w:r>
    </w:p>
    <w:p>
      <w:pPr>
        <w:pStyle w:val="BodyText"/>
        <w:spacing w:line="292" w:lineRule="auto" w:before="13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affiliates of the Phoenix Suns in connection with the sale of $72 million in</w:t>
      </w:r>
      <w:r>
        <w:rPr>
          <w:color w:val="6E6158"/>
          <w:spacing w:val="40"/>
        </w:rPr>
        <w:t> </w:t>
      </w:r>
      <w:r>
        <w:rPr>
          <w:color w:val="6E6158"/>
        </w:rPr>
        <w:t>senior</w:t>
      </w:r>
      <w:r>
        <w:rPr>
          <w:color w:val="6E6158"/>
          <w:spacing w:val="25"/>
        </w:rPr>
        <w:t> </w:t>
      </w:r>
      <w:r>
        <w:rPr>
          <w:color w:val="6E6158"/>
        </w:rPr>
        <w:t>secured</w:t>
      </w:r>
      <w:r>
        <w:rPr>
          <w:color w:val="6E6158"/>
          <w:spacing w:val="25"/>
        </w:rPr>
        <w:t> </w:t>
      </w:r>
      <w:r>
        <w:rPr>
          <w:color w:val="6E6158"/>
        </w:rPr>
        <w:t>promissory</w:t>
      </w:r>
      <w:r>
        <w:rPr>
          <w:color w:val="6E6158"/>
          <w:spacing w:val="25"/>
        </w:rPr>
        <w:t> </w:t>
      </w:r>
      <w:r>
        <w:rPr>
          <w:color w:val="6E6158"/>
        </w:rPr>
        <w:t>notes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New</w:t>
      </w:r>
      <w:r>
        <w:rPr>
          <w:color w:val="6E6158"/>
          <w:spacing w:val="25"/>
        </w:rPr>
        <w:t> </w:t>
      </w:r>
      <w:r>
        <w:rPr>
          <w:color w:val="6E6158"/>
        </w:rPr>
        <w:t>York</w:t>
      </w:r>
      <w:r>
        <w:rPr>
          <w:color w:val="6E6158"/>
          <w:spacing w:val="25"/>
        </w:rPr>
        <w:t> </w:t>
      </w:r>
      <w:r>
        <w:rPr>
          <w:color w:val="6E6158"/>
        </w:rPr>
        <w:t>Life</w:t>
      </w:r>
      <w:r>
        <w:rPr>
          <w:color w:val="6E6158"/>
          <w:spacing w:val="25"/>
        </w:rPr>
        <w:t> </w:t>
      </w:r>
      <w:r>
        <w:rPr>
          <w:color w:val="6E6158"/>
        </w:rPr>
        <w:t>Insurance</w:t>
      </w:r>
      <w:r>
        <w:rPr>
          <w:color w:val="6E6158"/>
          <w:spacing w:val="25"/>
        </w:rPr>
        <w:t> </w:t>
      </w:r>
      <w:r>
        <w:rPr>
          <w:color w:val="6E6158"/>
        </w:rPr>
        <w:t>Company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related</w:t>
      </w:r>
      <w:r>
        <w:rPr>
          <w:color w:val="6E6158"/>
          <w:spacing w:val="25"/>
        </w:rPr>
        <w:t> </w:t>
      </w:r>
      <w:r>
        <w:rPr>
          <w:color w:val="6E6158"/>
        </w:rPr>
        <w:t>affiliates.</w:t>
      </w:r>
    </w:p>
    <w:p>
      <w:pPr>
        <w:pStyle w:val="BodyText"/>
        <w:spacing w:line="295" w:lineRule="auto" w:before="123"/>
        <w:ind w:right="12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137642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55pt;width:1.65pt;height:1.65pt;mso-position-horizontal-relative:page;mso-position-vertical-relative:paragraph;z-index:15734272" id="docshape1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co-counsel to various automotive manufacturers for Arizona-related work in connection with financing from the United States Department of the Treasury and with respect to the transfer and pledge of Arizona-located corporate and subsidiary assets attendant to Section 363 actions under the United States Bankruptcy Code.</w:t>
      </w:r>
    </w:p>
    <w:p>
      <w:pPr>
        <w:pStyle w:val="BodyText"/>
        <w:spacing w:line="292" w:lineRule="auto" w:before="12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137842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745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co-counsel to an independent oil refiner and various Arizona subsidiaries </w:t>
      </w:r>
      <w:r>
        <w:rPr>
          <w:color w:val="6E6158"/>
        </w:rPr>
        <w:t>attendant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issuance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secured</w:t>
      </w:r>
      <w:r>
        <w:rPr>
          <w:color w:val="6E6158"/>
          <w:spacing w:val="27"/>
        </w:rPr>
        <w:t> </w:t>
      </w:r>
      <w:r>
        <w:rPr>
          <w:color w:val="6E6158"/>
        </w:rPr>
        <w:t>notes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floating</w:t>
      </w:r>
      <w:r>
        <w:rPr>
          <w:color w:val="6E6158"/>
          <w:spacing w:val="27"/>
        </w:rPr>
        <w:t> </w:t>
      </w:r>
      <w:r>
        <w:rPr>
          <w:color w:val="6E6158"/>
        </w:rPr>
        <w:t>rate</w:t>
      </w:r>
      <w:r>
        <w:rPr>
          <w:color w:val="6E6158"/>
          <w:spacing w:val="27"/>
        </w:rPr>
        <w:t> </w:t>
      </w:r>
      <w:r>
        <w:rPr>
          <w:color w:val="6E6158"/>
        </w:rPr>
        <w:t>notes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private</w:t>
      </w:r>
      <w:r>
        <w:rPr>
          <w:color w:val="6E6158"/>
          <w:spacing w:val="27"/>
        </w:rPr>
        <w:t> </w:t>
      </w:r>
      <w:r>
        <w:rPr>
          <w:color w:val="6E6158"/>
        </w:rPr>
        <w:t>placement</w:t>
      </w:r>
      <w:r>
        <w:rPr>
          <w:color w:val="6E6158"/>
          <w:spacing w:val="27"/>
        </w:rPr>
        <w:t> </w:t>
      </w:r>
      <w:r>
        <w:rPr>
          <w:color w:val="6E6158"/>
        </w:rPr>
        <w:t>offering.</w:t>
      </w:r>
    </w:p>
    <w:p>
      <w:pPr>
        <w:pStyle w:val="BodyText"/>
        <w:spacing w:line="292" w:lineRule="auto" w:before="132"/>
        <w:ind w:right="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143187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592pt;width:1.65pt;height:1.65pt;mso-position-horizontal-relative:page;mso-position-vertical-relative:paragraph;z-index:15735296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lead and co-counsel to various lenders and life insurance companies with </w:t>
      </w:r>
      <w:r>
        <w:rPr>
          <w:color w:val="6E6158"/>
        </w:rPr>
        <w:t>respect</w:t>
      </w:r>
      <w:r>
        <w:rPr>
          <w:color w:val="6E6158"/>
          <w:spacing w:val="40"/>
        </w:rPr>
        <w:t> </w:t>
      </w:r>
      <w:r>
        <w:rPr>
          <w:color w:val="6E6158"/>
        </w:rPr>
        <w:t>to real estate acquisition, construction, and permanent financing.</w:t>
      </w:r>
    </w:p>
    <w:p>
      <w:pPr>
        <w:pStyle w:val="BodyText"/>
        <w:spacing w:line="297" w:lineRule="auto" w:before="123"/>
        <w:ind w:right="47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137649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566pt;width:1.65pt;height:1.65pt;mso-position-horizontal-relative:page;mso-position-vertical-relative:paragraph;z-index:15735808" id="docshape2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counsel to the largest low-income housing tax credit multifamily developer in United States with respect to property acquisitions, construction, and financing of multifamily housing projects throughout Arizona.</w:t>
      </w:r>
    </w:p>
    <w:p>
      <w:pPr>
        <w:pStyle w:val="BodyText"/>
        <w:spacing w:line="297" w:lineRule="auto" w:before="118"/>
        <w:ind w:right="7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134505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976pt;width:1.65pt;height:1.65pt;mso-position-horizontal-relative:page;mso-position-vertical-relative:paragraph;z-index:15736320" id="docshape21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national homebuilders with respect to acquisition and development of </w:t>
      </w:r>
      <w:r>
        <w:rPr>
          <w:color w:val="6E6158"/>
        </w:rPr>
        <w:t>master</w:t>
      </w:r>
      <w:r>
        <w:rPr>
          <w:color w:val="6E6158"/>
          <w:spacing w:val="40"/>
        </w:rPr>
        <w:t> </w:t>
      </w:r>
      <w:r>
        <w:rPr>
          <w:color w:val="6E6158"/>
        </w:rPr>
        <w:t>planned communities including the negotiation and preparation of joint development</w:t>
      </w:r>
      <w:r>
        <w:rPr>
          <w:color w:val="6E6158"/>
          <w:spacing w:val="40"/>
        </w:rPr>
        <w:t> </w:t>
      </w:r>
      <w:r>
        <w:rPr>
          <w:color w:val="6E6158"/>
        </w:rPr>
        <w:t>agreements with participating homebuilders.</w:t>
      </w:r>
    </w:p>
    <w:p>
      <w:pPr>
        <w:pStyle w:val="BodyText"/>
        <w:spacing w:line="292" w:lineRule="auto" w:before="118"/>
        <w:ind w:right="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134536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3387pt;width:1.65pt;height:1.65pt;mso-position-horizontal-relative:page;mso-position-vertical-relative:paragraph;z-index:15736832" id="docshape22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counsel to multiple borrowers with respect to financing associated with </w:t>
      </w:r>
      <w:r>
        <w:rPr>
          <w:color w:val="6E6158"/>
        </w:rPr>
        <w:t>various office and retail projects throughout Arizona.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152440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218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4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152594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286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410959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035pt;width:1.65pt;height:1.65pt;mso-position-horizontal-relative:page;mso-position-vertical-relative:paragraph;z-index:15738368" id="docshape2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669325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2785pt;width:1.65pt;height:1.65pt;mso-position-horizontal-relative:page;mso-position-vertical-relative:paragraph;z-index:15738880" id="docshape26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932858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53407pt;width:1.65pt;height:1.65pt;mso-position-horizontal-relative:page;mso-position-vertical-relative:paragraph;z-index:15739392" id="docshape27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Real Property Section, State Bar of </w:t>
      </w:r>
      <w:r>
        <w:rPr>
          <w:color w:val="6E6158"/>
        </w:rPr>
        <w:t>Arizona Member, Business Law Section, State Bar of Arizona Member, District of Columbia Bar Association Member, Men’s Arts Council, Phoenix Art Museum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56480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47314pt;width:1.65pt;height:1.65pt;mso-position-horizontal-relative:page;mso-position-vertical-relative:paragraph;z-index:15739904" id="docshape28" coordorigin="1675,89" coordsize="33,33" path="m1696,121l1687,121,1683,120,1676,114,1675,110,1675,101,1676,97,1683,91,1687,89,1696,89,1699,91,1706,97,1707,101,1707,105,1707,110,1706,114,1699,120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Valley</w:t>
      </w:r>
      <w:r>
        <w:rPr>
          <w:color w:val="6E6158"/>
          <w:spacing w:val="9"/>
        </w:rPr>
        <w:t> </w:t>
      </w:r>
      <w:r>
        <w:rPr>
          <w:color w:val="6E6158"/>
        </w:rPr>
        <w:t>Partnership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Metropolitan</w:t>
      </w:r>
      <w:r>
        <w:rPr>
          <w:color w:val="6E6158"/>
          <w:spacing w:val="9"/>
        </w:rPr>
        <w:t> </w:t>
      </w:r>
      <w:r>
        <w:rPr>
          <w:color w:val="6E6158"/>
        </w:rPr>
        <w:t>Phoenix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Area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152962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294pt;width:1.65pt;height:1.65pt;mso-position-horizontal-relative:page;mso-position-vertical-relative:paragraph;z-index:15740416" id="docshape2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170057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339pt;width:1.65pt;height:1.65pt;mso-position-horizontal-relative:page;mso-position-vertical-relative:paragraph;z-index:15740928" id="docshape3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sab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2025-01-02T07:00:49Z</dcterms:created>
  <dcterms:modified xsi:type="dcterms:W3CDTF">2025-01-02T07:00:49Z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