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369338"/>
                            <a:ext cx="211391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3915" h="320675">
                                <a:moveTo>
                                  <a:pt x="211343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3432" y="320382"/>
                                </a:lnTo>
                                <a:lnTo>
                                  <a:pt x="2113432" y="315214"/>
                                </a:lnTo>
                                <a:close/>
                              </a:path>
                              <a:path w="2113915" h="320675">
                                <a:moveTo>
                                  <a:pt x="2113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3432" y="5168"/>
                                </a:lnTo>
                                <a:lnTo>
                                  <a:pt x="2113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TAYLOR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K.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GOULD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775.788.2233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775.786.1177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tgould@fennemorelaw.com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00;top:2156;width:3329;height:505" id="docshape5" coordorigin="5501,2156" coordsize="3329,505" path="m8829,2653l5501,2653,5501,2661,8829,2661,8829,2653xm8829,2156l5501,2156,5501,2165,8829,2165,8829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TAYLOR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K.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GOULD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775.788.2233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775.786.1177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tgould@fennemorelaw.com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TAYLOR</w:t>
      </w:r>
      <w:r>
        <w:rPr>
          <w:color w:val="FF8100"/>
          <w:spacing w:val="6"/>
        </w:rPr>
        <w:t> </w:t>
      </w:r>
      <w:r>
        <w:rPr>
          <w:color w:val="FF8100"/>
        </w:rPr>
        <w:t>K.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GOULD</w:t>
      </w:r>
    </w:p>
    <w:p>
      <w:pPr>
        <w:pStyle w:val="BodyText"/>
        <w:spacing w:line="297" w:lineRule="auto" w:before="147"/>
        <w:ind w:left="104"/>
      </w:pPr>
      <w:r>
        <w:rPr>
          <w:color w:val="6E6158"/>
        </w:rPr>
        <w:t>Taylor Gould is a Business and Finance associate in the Reno office, where she focuses her practice on regulatory and administrative law matters for financial institutions, gaming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hospitality,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public</w:t>
      </w:r>
      <w:r>
        <w:rPr>
          <w:color w:val="6E6158"/>
          <w:spacing w:val="32"/>
        </w:rPr>
        <w:t> </w:t>
      </w:r>
      <w:r>
        <w:rPr>
          <w:color w:val="6E6158"/>
        </w:rPr>
        <w:t>utilities.</w:t>
      </w:r>
      <w:r>
        <w:rPr>
          <w:color w:val="6E6158"/>
          <w:spacing w:val="80"/>
        </w:rPr>
        <w:t> </w:t>
      </w:r>
      <w:r>
        <w:rPr>
          <w:color w:val="6E6158"/>
        </w:rPr>
        <w:t>She</w:t>
      </w:r>
      <w:r>
        <w:rPr>
          <w:color w:val="6E6158"/>
          <w:spacing w:val="32"/>
        </w:rPr>
        <w:t> </w:t>
      </w:r>
      <w:r>
        <w:rPr>
          <w:color w:val="6E6158"/>
        </w:rPr>
        <w:t>helps</w:t>
      </w:r>
      <w:r>
        <w:rPr>
          <w:color w:val="6E6158"/>
          <w:spacing w:val="32"/>
        </w:rPr>
        <w:t> </w:t>
      </w:r>
      <w:r>
        <w:rPr>
          <w:color w:val="6E6158"/>
        </w:rPr>
        <w:t>businesses</w:t>
      </w:r>
      <w:r>
        <w:rPr>
          <w:color w:val="6E6158"/>
          <w:spacing w:val="32"/>
        </w:rPr>
        <w:t> </w:t>
      </w:r>
      <w:r>
        <w:rPr>
          <w:color w:val="6E6158"/>
        </w:rPr>
        <w:t>comply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regulatory</w:t>
      </w:r>
      <w:r>
        <w:rPr>
          <w:color w:val="6E6158"/>
          <w:spacing w:val="32"/>
        </w:rPr>
        <w:t> </w:t>
      </w:r>
      <w:r>
        <w:rPr>
          <w:color w:val="6E6158"/>
        </w:rPr>
        <w:t>requirements,</w:t>
      </w:r>
    </w:p>
    <w:p>
      <w:pPr>
        <w:pStyle w:val="BodyText"/>
        <w:spacing w:line="229" w:lineRule="exact"/>
        <w:ind w:left="104" w:right="0"/>
      </w:pPr>
      <w:r>
        <w:rPr>
          <w:color w:val="6E6158"/>
        </w:rPr>
        <w:t>licensing,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other</w:t>
      </w:r>
      <w:r>
        <w:rPr>
          <w:color w:val="6E6158"/>
          <w:spacing w:val="17"/>
        </w:rPr>
        <w:t> </w:t>
      </w:r>
      <w:r>
        <w:rPr>
          <w:color w:val="6E6158"/>
        </w:rPr>
        <w:t>procedures</w:t>
      </w:r>
      <w:r>
        <w:rPr>
          <w:color w:val="6E6158"/>
          <w:spacing w:val="17"/>
        </w:rPr>
        <w:t> </w:t>
      </w:r>
      <w:r>
        <w:rPr>
          <w:color w:val="6E6158"/>
        </w:rPr>
        <w:t>before</w:t>
      </w:r>
      <w:r>
        <w:rPr>
          <w:color w:val="6E6158"/>
          <w:spacing w:val="17"/>
        </w:rPr>
        <w:t> </w:t>
      </w:r>
      <w:r>
        <w:rPr>
          <w:color w:val="6E6158"/>
        </w:rPr>
        <w:t>administrative</w:t>
      </w:r>
      <w:r>
        <w:rPr>
          <w:color w:val="6E6158"/>
          <w:spacing w:val="17"/>
        </w:rPr>
        <w:t> </w:t>
      </w:r>
      <w:r>
        <w:rPr>
          <w:color w:val="6E6158"/>
        </w:rPr>
        <w:t>agencies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governmental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bodies.</w:t>
      </w:r>
    </w:p>
    <w:p>
      <w:pPr>
        <w:pStyle w:val="BodyText"/>
        <w:spacing w:line="292" w:lineRule="auto" w:before="60"/>
        <w:ind w:left="104"/>
      </w:pPr>
      <w:r>
        <w:rPr>
          <w:color w:val="6E6158"/>
        </w:rPr>
        <w:t>Taylor is part of a team that supports regulated companies with transactions, </w:t>
      </w:r>
      <w:r>
        <w:rPr>
          <w:color w:val="6E6158"/>
        </w:rPr>
        <w:t>operational compliance, and licensing and permitting.</w:t>
      </w:r>
    </w:p>
    <w:p>
      <w:pPr>
        <w:pStyle w:val="BodyText"/>
        <w:spacing w:line="295" w:lineRule="auto" w:before="196"/>
        <w:ind w:left="104" w:right="559"/>
      </w:pPr>
      <w:r>
        <w:rPr>
          <w:color w:val="6E6158"/>
        </w:rPr>
        <w:t>She returned to her hometown of Reno, Nevada after working for three years at Cahill Gordon &amp;</w:t>
      </w:r>
      <w:r>
        <w:rPr>
          <w:color w:val="6E6158"/>
          <w:spacing w:val="40"/>
        </w:rPr>
        <w:t> </w:t>
      </w:r>
      <w:r>
        <w:rPr>
          <w:color w:val="6E6158"/>
        </w:rPr>
        <w:t>Reindel in New York, NY, where she handled litigation and regulatory matters for financial institutions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public</w:t>
      </w:r>
      <w:r>
        <w:rPr>
          <w:color w:val="6E6158"/>
          <w:spacing w:val="29"/>
        </w:rPr>
        <w:t> </w:t>
      </w:r>
      <w:r>
        <w:rPr>
          <w:color w:val="6E6158"/>
        </w:rPr>
        <w:t>service</w:t>
      </w:r>
      <w:r>
        <w:rPr>
          <w:color w:val="6E6158"/>
          <w:spacing w:val="29"/>
        </w:rPr>
        <w:t> </w:t>
      </w:r>
      <w:r>
        <w:rPr>
          <w:color w:val="6E6158"/>
        </w:rPr>
        <w:t>projects.</w:t>
      </w:r>
      <w:r>
        <w:rPr>
          <w:color w:val="6E6158"/>
          <w:spacing w:val="80"/>
        </w:rPr>
        <w:t> </w:t>
      </w:r>
      <w:r>
        <w:rPr>
          <w:color w:val="6E6158"/>
        </w:rPr>
        <w:t>Taylor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brings</w:t>
      </w:r>
      <w:r>
        <w:rPr>
          <w:color w:val="6E6158"/>
          <w:spacing w:val="29"/>
        </w:rPr>
        <w:t> </w:t>
      </w:r>
      <w:r>
        <w:rPr>
          <w:color w:val="6E6158"/>
        </w:rPr>
        <w:t>valuable</w:t>
      </w:r>
      <w:r>
        <w:rPr>
          <w:color w:val="6E6158"/>
          <w:spacing w:val="29"/>
        </w:rPr>
        <w:t> </w:t>
      </w:r>
      <w:r>
        <w:rPr>
          <w:color w:val="6E6158"/>
        </w:rPr>
        <w:t>insights</w:t>
      </w:r>
      <w:r>
        <w:rPr>
          <w:color w:val="6E6158"/>
          <w:spacing w:val="29"/>
        </w:rPr>
        <w:t> </w:t>
      </w:r>
      <w:r>
        <w:rPr>
          <w:color w:val="6E6158"/>
        </w:rPr>
        <w:t>from</w:t>
      </w:r>
      <w:r>
        <w:rPr>
          <w:color w:val="6E6158"/>
          <w:spacing w:val="29"/>
        </w:rPr>
        <w:t> </w:t>
      </w:r>
      <w:r>
        <w:rPr>
          <w:color w:val="6E6158"/>
        </w:rPr>
        <w:t>an</w:t>
      </w:r>
      <w:r>
        <w:rPr>
          <w:color w:val="6E6158"/>
          <w:spacing w:val="29"/>
        </w:rPr>
        <w:t> </w:t>
      </w:r>
      <w:r>
        <w:rPr>
          <w:color w:val="6E6158"/>
        </w:rPr>
        <w:t>externship with the United States District Court for the District of Nevada.</w:t>
      </w:r>
      <w:r>
        <w:rPr>
          <w:color w:val="6E6158"/>
          <w:spacing w:val="80"/>
        </w:rPr>
        <w:t> </w:t>
      </w:r>
      <w:r>
        <w:rPr>
          <w:color w:val="6E6158"/>
        </w:rPr>
        <w:t>While at the University of Virginia School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Law,</w:t>
      </w:r>
      <w:r>
        <w:rPr>
          <w:color w:val="6E6158"/>
          <w:spacing w:val="23"/>
        </w:rPr>
        <w:t> </w:t>
      </w:r>
      <w:r>
        <w:rPr>
          <w:color w:val="6E6158"/>
        </w:rPr>
        <w:t>she</w:t>
      </w:r>
      <w:r>
        <w:rPr>
          <w:color w:val="6E6158"/>
          <w:spacing w:val="23"/>
        </w:rPr>
        <w:t> </w:t>
      </w:r>
      <w:r>
        <w:rPr>
          <w:color w:val="6E6158"/>
        </w:rPr>
        <w:t>served</w:t>
      </w:r>
      <w:r>
        <w:rPr>
          <w:color w:val="6E6158"/>
          <w:spacing w:val="23"/>
        </w:rPr>
        <w:t> </w:t>
      </w:r>
      <w:r>
        <w:rPr>
          <w:color w:val="6E6158"/>
        </w:rPr>
        <w:t>on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Editorial</w:t>
      </w:r>
      <w:r>
        <w:rPr>
          <w:color w:val="6E6158"/>
          <w:spacing w:val="23"/>
        </w:rPr>
        <w:t> </w:t>
      </w:r>
      <w:r>
        <w:rPr>
          <w:color w:val="6E6158"/>
        </w:rPr>
        <w:t>Board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Virginia</w:t>
      </w:r>
      <w:r>
        <w:rPr>
          <w:color w:val="6E6158"/>
          <w:spacing w:val="23"/>
        </w:rPr>
        <w:t> </w:t>
      </w:r>
      <w:r>
        <w:rPr>
          <w:color w:val="6E6158"/>
        </w:rPr>
        <w:t>Journal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Law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Politics</w:t>
      </w:r>
      <w:r>
        <w:rPr>
          <w:color w:val="6E6158"/>
          <w:spacing w:val="23"/>
        </w:rPr>
        <w:t> </w:t>
      </w:r>
      <w:r>
        <w:rPr>
          <w:color w:val="6E6158"/>
        </w:rPr>
        <w:t>and was a semi-finalist in the UNC Craven Moot Court Competition. Taylor completed her undergraduate studies at Hamilton College, graduating magna cum laude in Government, and</w:t>
      </w:r>
      <w:r>
        <w:rPr>
          <w:color w:val="6E6158"/>
          <w:spacing w:val="40"/>
        </w:rPr>
        <w:t> </w:t>
      </w:r>
      <w:r>
        <w:rPr>
          <w:color w:val="6E6158"/>
        </w:rPr>
        <w:t>gained experience in government services through internships with the Offices of U.S. Senator</w:t>
      </w:r>
      <w:r>
        <w:rPr>
          <w:color w:val="6E6158"/>
          <w:spacing w:val="80"/>
        </w:rPr>
        <w:t> </w:t>
      </w:r>
      <w:r>
        <w:rPr>
          <w:color w:val="6E6158"/>
        </w:rPr>
        <w:t>Harry Reid and Kirsten Gillibrand.</w:t>
      </w:r>
      <w:r>
        <w:rPr>
          <w:color w:val="6E6158"/>
          <w:spacing w:val="80"/>
        </w:rPr>
        <w:t> </w:t>
      </w:r>
      <w:r>
        <w:rPr>
          <w:color w:val="6E6158"/>
        </w:rPr>
        <w:t>In her free time, Taylor loves skiing, hiking, and being on the</w:t>
      </w:r>
      <w:r>
        <w:rPr>
          <w:color w:val="6E6158"/>
          <w:spacing w:val="40"/>
        </w:rPr>
        <w:t> </w:t>
      </w:r>
      <w:r>
        <w:rPr>
          <w:color w:val="6E6158"/>
        </w:rPr>
        <w:t>water in Lake Tahoe.</w:t>
      </w:r>
    </w:p>
    <w:p>
      <w:pPr>
        <w:pStyle w:val="Heading1"/>
        <w:spacing w:before="169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5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152470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565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410836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9312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Virginia, School of </w:t>
      </w:r>
      <w:r>
        <w:rPr>
          <w:color w:val="6E6158"/>
        </w:rPr>
        <w:t>Law</w:t>
      </w:r>
      <w:r>
        <w:rPr>
          <w:color w:val="6E6158"/>
        </w:rPr>
        <w:t> B.A., Hamilton College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69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152678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954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416211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2579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Gaming &amp; </w:t>
      </w:r>
      <w:r>
        <w:rPr>
          <w:color w:val="6E6158"/>
        </w:rPr>
        <w:t>Hospitality</w:t>
      </w:r>
    </w:p>
    <w:p>
      <w:pPr>
        <w:pStyle w:val="BodyText"/>
        <w:spacing w:line="420" w:lineRule="auto"/>
        <w:ind w:right="5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54616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0497pt;width:1.65pt;height:1.65pt;mso-position-horizontal-relative:page;mso-position-vertical-relative:paragraph;z-index:15731200" id="docshape11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312981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44245pt;width:1.65pt;height:1.65pt;mso-position-horizontal-relative:page;mso-position-vertical-relative:paragraph;z-index:15731712" id="docshape12" coordorigin="1675,493" coordsize="33,33" path="m1696,525l1687,525,1683,524,1676,517,1675,514,1675,505,1676,501,1683,494,1687,493,1696,493,1699,494,1706,501,1707,505,1707,509,1707,514,1706,517,1699,524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&amp; </w:t>
      </w:r>
      <w:r>
        <w:rPr>
          <w:color w:val="6E6158"/>
        </w:rPr>
        <w:t>Regulatory Natural Resources</w:t>
      </w: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Representations of director and key executive licensing and suitability determinations </w:t>
      </w:r>
      <w:r>
        <w:rPr>
          <w:color w:val="6E6158"/>
        </w:rPr>
        <w:t>by</w:t>
      </w:r>
      <w:r>
        <w:rPr>
          <w:color w:val="6E6158"/>
          <w:spacing w:val="40"/>
        </w:rPr>
        <w:t> </w:t>
      </w:r>
      <w:r>
        <w:rPr>
          <w:color w:val="6E6158"/>
        </w:rPr>
        <w:t>Nevada Gaming Commission.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2736" id="docshape1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Support utility companies in integrated resource planning, rate cases, decouplings and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matters before the Public Utilities Commission of Nevada.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137642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955pt;width:1.65pt;height:1.65pt;mso-position-horizontal-relative:page;mso-position-vertical-relative:paragraph;z-index:15733248" id="docshape15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a cannabis company for government audits and regulatory approval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transfers of interest before the Cannabis Control Board.</w:t>
      </w:r>
    </w:p>
    <w:p>
      <w:pPr>
        <w:pStyle w:val="BodyText"/>
        <w:spacing w:line="292" w:lineRule="auto"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804pt;width:1.65pt;height:1.65pt;mso-position-horizontal-relative:page;mso-position-vertical-relative:paragraph;z-index:15733760" id="docshape1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Engagement by corporate client on an appeal of an advisory opinion before the Nevada Tax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Commission.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138084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777pt;width:1.65pt;height:1.65pt;mso-position-horizontal-relative:page;mso-position-vertical-relative:paragraph;z-index:15734272" id="docshape1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Advise regulated companies on potential transactions and assist in preparing strategy </w:t>
      </w:r>
      <w:r>
        <w:rPr>
          <w:color w:val="6E6158"/>
        </w:rPr>
        <w:t>to obtain necessary regulatory approval.</w:t>
      </w:r>
    </w:p>
    <w:p>
      <w:pPr>
        <w:pStyle w:val="BodyText"/>
        <w:spacing w:line="292" w:lineRule="auto" w:before="131"/>
        <w:ind w:right="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142794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626pt;width:1.65pt;height:1.65pt;mso-position-horizontal-relative:page;mso-position-vertical-relative:paragraph;z-index:15734784" id="docshape1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 as associate general counsel to a credit union, including compliance with National</w:t>
      </w:r>
      <w:r>
        <w:rPr>
          <w:color w:val="6E6158"/>
          <w:spacing w:val="40"/>
        </w:rPr>
        <w:t> </w:t>
      </w:r>
      <w:r>
        <w:rPr>
          <w:color w:val="6E6158"/>
        </w:rPr>
        <w:t>Credit Union Association regulations, advice on business transactions, and representation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litigation.</w:t>
      </w:r>
    </w:p>
    <w:p>
      <w:pPr>
        <w:pStyle w:val="Heading1"/>
        <w:spacing w:before="285"/>
        <w:ind w:left="0" w:right="8034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5"/>
        <w:ind w:right="8490" w:hanging="9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157997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757pt;width:1.65pt;height:1.65pt;mso-position-horizontal-relative:page;mso-position-vertical-relative:paragraph;z-index:15735296" id="docshape1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416363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4504pt;width:1.65pt;height:1.65pt;mso-position-horizontal-relative:page;mso-position-vertical-relative:paragraph;z-index:15735808" id="docshape20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York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 w:right="64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tgould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2025-01-06T17:18:59Z</dcterms:created>
  <dcterms:modified xsi:type="dcterms:W3CDTF">2025-01-06T17:18:59Z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