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47" w:right="54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W. ALDOUS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547" w:right="54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547" w:right="54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47" w:right="54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602.916.5468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602.916.5668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47" w:right="54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taldous@fennemorelaw.com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47" w:right="54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W. ALDOUS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547" w:right="54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547" w:right="54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47" w:right="54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602.916.5468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602.916.5668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47" w:right="54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taldous@fennemorelaw.com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THOMAS</w:t>
      </w:r>
      <w:r>
        <w:rPr>
          <w:color w:val="002E6B"/>
          <w:spacing w:val="8"/>
        </w:rPr>
        <w:t> </w:t>
      </w:r>
      <w:r>
        <w:rPr>
          <w:color w:val="002E6B"/>
        </w:rPr>
        <w:t>W.</w:t>
      </w:r>
      <w:r>
        <w:rPr>
          <w:color w:val="002E6B"/>
          <w:spacing w:val="9"/>
        </w:rPr>
        <w:t> </w:t>
      </w:r>
      <w:r>
        <w:rPr>
          <w:color w:val="002E6B"/>
        </w:rPr>
        <w:t>ALDOUS,</w:t>
      </w:r>
      <w:r>
        <w:rPr>
          <w:color w:val="002E6B"/>
          <w:spacing w:val="8"/>
        </w:rPr>
        <w:t> </w:t>
      </w:r>
      <w:r>
        <w:rPr>
          <w:color w:val="002E6B"/>
          <w:spacing w:val="-5"/>
        </w:rPr>
        <w:t>JR.</w:t>
      </w:r>
    </w:p>
    <w:p>
      <w:pPr>
        <w:pStyle w:val="BodyText"/>
        <w:spacing w:line="295" w:lineRule="auto" w:before="147"/>
        <w:ind w:left="104" w:right="439"/>
      </w:pPr>
      <w:r>
        <w:rPr>
          <w:color w:val="6E6158"/>
        </w:rPr>
        <w:t>T.J.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counsel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trusts,</w:t>
      </w:r>
      <w:r>
        <w:rPr>
          <w:color w:val="6E6158"/>
          <w:spacing w:val="20"/>
        </w:rPr>
        <w:t> </w:t>
      </w:r>
      <w:r>
        <w:rPr>
          <w:color w:val="6E6158"/>
        </w:rPr>
        <w:t>estates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wealth</w:t>
      </w:r>
      <w:r>
        <w:rPr>
          <w:color w:val="6E6158"/>
          <w:spacing w:val="20"/>
        </w:rPr>
        <w:t> </w:t>
      </w:r>
      <w:r>
        <w:rPr>
          <w:color w:val="6E6158"/>
        </w:rPr>
        <w:t>preservation</w:t>
      </w:r>
      <w:r>
        <w:rPr>
          <w:color w:val="6E6158"/>
          <w:spacing w:val="20"/>
        </w:rPr>
        <w:t> </w:t>
      </w:r>
      <w:r>
        <w:rPr>
          <w:color w:val="6E6158"/>
        </w:rPr>
        <w:t>practice</w:t>
      </w:r>
      <w:r>
        <w:rPr>
          <w:color w:val="6E6158"/>
          <w:spacing w:val="20"/>
        </w:rPr>
        <w:t> </w:t>
      </w:r>
      <w:r>
        <w:rPr>
          <w:color w:val="6E6158"/>
        </w:rPr>
        <w:t>group</w:t>
      </w:r>
      <w:r>
        <w:rPr>
          <w:color w:val="6E6158"/>
          <w:spacing w:val="20"/>
        </w:rPr>
        <w:t> </w:t>
      </w:r>
      <w:r>
        <w:rPr>
          <w:color w:val="6E6158"/>
        </w:rPr>
        <w:t>where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adept at counseling clients, building client trust and managing client relationships. He possesses</w:t>
      </w:r>
      <w:r>
        <w:rPr>
          <w:color w:val="6E6158"/>
          <w:spacing w:val="40"/>
        </w:rPr>
        <w:t> </w:t>
      </w:r>
      <w:r>
        <w:rPr>
          <w:color w:val="6E6158"/>
        </w:rPr>
        <w:t>experience in estate planning, trust formation and administration, tax controversy and IRS </w:t>
      </w:r>
      <w:r>
        <w:rPr>
          <w:color w:val="6E6158"/>
        </w:rPr>
        <w:t>audits,</w:t>
      </w:r>
      <w:r>
        <w:rPr>
          <w:color w:val="6E6158"/>
          <w:spacing w:val="40"/>
        </w:rPr>
        <w:t> </w:t>
      </w:r>
      <w:r>
        <w:rPr>
          <w:color w:val="6E6158"/>
        </w:rPr>
        <w:t>business contracts, real estate and commercial leases, and tax matters with the ability to</w:t>
      </w:r>
      <w:r>
        <w:rPr>
          <w:color w:val="6E6158"/>
          <w:spacing w:val="40"/>
        </w:rPr>
        <w:t> </w:t>
      </w:r>
      <w:r>
        <w:rPr>
          <w:color w:val="6E6158"/>
        </w:rPr>
        <w:t>understand and negotiate complex agreements.</w:t>
      </w:r>
    </w:p>
    <w:p>
      <w:pPr>
        <w:pStyle w:val="BodyText"/>
        <w:spacing w:line="292" w:lineRule="auto" w:before="203"/>
        <w:ind w:left="104" w:right="676"/>
      </w:pPr>
      <w:r>
        <w:rPr>
          <w:color w:val="6E6158"/>
        </w:rPr>
        <w:t>Early in his career, T.J. thought that he wanted to be a dentist, but that field’s loss is the legal field’s</w:t>
      </w:r>
      <w:r>
        <w:rPr>
          <w:color w:val="6E6158"/>
          <w:spacing w:val="22"/>
        </w:rPr>
        <w:t> </w:t>
      </w:r>
      <w:r>
        <w:rPr>
          <w:color w:val="6E6158"/>
        </w:rPr>
        <w:t>gain.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has</w:t>
      </w:r>
      <w:r>
        <w:rPr>
          <w:color w:val="6E6158"/>
          <w:spacing w:val="22"/>
        </w:rPr>
        <w:t> </w:t>
      </w:r>
      <w:r>
        <w:rPr>
          <w:color w:val="6E6158"/>
        </w:rPr>
        <w:t>earned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J.D.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University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Kansas,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Master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Laws</w:t>
      </w:r>
      <w:r>
        <w:rPr>
          <w:color w:val="6E6158"/>
          <w:spacing w:val="22"/>
        </w:rPr>
        <w:t> </w:t>
      </w:r>
      <w:r>
        <w:rPr>
          <w:color w:val="6E6158"/>
        </w:rPr>
        <w:t>(in</w:t>
      </w:r>
    </w:p>
    <w:p>
      <w:pPr>
        <w:pStyle w:val="BodyText"/>
        <w:spacing w:line="295" w:lineRule="auto" w:before="1"/>
        <w:ind w:left="104" w:right="676"/>
      </w:pPr>
      <w:r>
        <w:rPr>
          <w:color w:val="6E6158"/>
        </w:rPr>
        <w:t>taxation) from NYU, and has years of working, speaking, and publishing on many topics in the</w:t>
      </w:r>
      <w:r>
        <w:rPr>
          <w:color w:val="6E6158"/>
          <w:spacing w:val="80"/>
        </w:rPr>
        <w:t> </w:t>
      </w:r>
      <w:r>
        <w:rPr>
          <w:color w:val="6E6158"/>
        </w:rPr>
        <w:t>trusts and tax arenas. He especially likes helping people, defending their interests, resolving their</w:t>
      </w:r>
      <w:r>
        <w:rPr>
          <w:color w:val="6E6158"/>
          <w:spacing w:val="40"/>
        </w:rPr>
        <w:t> </w:t>
      </w:r>
      <w:r>
        <w:rPr>
          <w:color w:val="6E6158"/>
        </w:rPr>
        <w:t>problems, and relieving their burdens. T.J. takes to heart the interests of his clients, putting himself</w:t>
      </w:r>
      <w:r>
        <w:rPr>
          <w:color w:val="6E6158"/>
          <w:spacing w:val="80"/>
        </w:rPr>
        <w:t> </w:t>
      </w:r>
      <w:r>
        <w:rPr>
          <w:color w:val="6E6158"/>
        </w:rPr>
        <w:t>in their shoes, and often stubbornly digging in until he can find a solution to help guide them to</w:t>
      </w:r>
      <w:r>
        <w:rPr>
          <w:color w:val="6E6158"/>
          <w:spacing w:val="80"/>
        </w:rPr>
        <w:t> </w:t>
      </w:r>
      <w:r>
        <w:rPr>
          <w:color w:val="6E6158"/>
        </w:rPr>
        <w:t>the goals that they want to accomplish.</w:t>
      </w:r>
    </w:p>
    <w:p>
      <w:pPr>
        <w:pStyle w:val="BodyText"/>
        <w:spacing w:line="297" w:lineRule="auto" w:before="195"/>
        <w:ind w:left="104" w:right="439"/>
      </w:pPr>
      <w:r>
        <w:rPr>
          <w:color w:val="6E6158"/>
        </w:rPr>
        <w:t>T.J. and his wife have two older children, as well as an 11-year-old still at home, and while not</w:t>
      </w:r>
      <w:r>
        <w:rPr>
          <w:color w:val="6E6158"/>
          <w:spacing w:val="40"/>
        </w:rPr>
        <w:t> </w:t>
      </w:r>
      <w:r>
        <w:rPr>
          <w:color w:val="6E6158"/>
        </w:rPr>
        <w:t>working on homework, they like to hike followed by lots of cooking, and baking – and enjoying</w:t>
      </w:r>
      <w:r>
        <w:rPr>
          <w:color w:val="6E6158"/>
          <w:spacing w:val="40"/>
        </w:rPr>
        <w:t> </w:t>
      </w:r>
      <w:r>
        <w:rPr>
          <w:color w:val="6E6158"/>
        </w:rPr>
        <w:t>family meals together.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152837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434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057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New York University School of </w:t>
      </w:r>
      <w:r>
        <w:rPr>
          <w:color w:val="6E6158"/>
        </w:rPr>
        <w:t>Law J.D., University of Kansas School of Law</w:t>
      </w:r>
    </w:p>
    <w:p>
      <w:pPr>
        <w:pStyle w:val="BodyText"/>
        <w:spacing w:line="420" w:lineRule="auto"/>
        <w:ind w:right="60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54774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2978pt;width:1.65pt;height:1.65pt;mso-position-horizontal-relative:page;mso-position-vertical-relative:paragraph;z-index:15730176" id="docshape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313140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6727pt;width:1.65pt;height:1.65pt;mso-position-horizontal-relative:page;mso-position-vertical-relative:paragraph;z-index:15730688" id="docshape10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Brigham Young </w:t>
      </w:r>
      <w:r>
        <w:rPr>
          <w:color w:val="6E6158"/>
        </w:rPr>
        <w:t>University</w:t>
      </w:r>
      <w:r>
        <w:rPr>
          <w:color w:val="6E6158"/>
        </w:rPr>
        <w:t> Order of the Coif</w:t>
      </w:r>
    </w:p>
    <w:p>
      <w:pPr>
        <w:spacing w:line="417" w:lineRule="auto" w:before="0"/>
        <w:ind w:left="356" w:right="296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53765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3509pt;width:1.65pt;height:1.65pt;mso-position-horizontal-relative:page;mso-position-vertical-relative:paragraph;z-index:15731200" id="docshape11" coordorigin="1675,85" coordsize="33,33" path="m1696,117l1687,117,1683,116,1676,109,1675,105,1675,96,1676,93,1683,86,1687,85,1696,85,1699,86,1706,93,1707,96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317298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4133pt;width:1.65pt;height:1.65pt;mso-position-horizontal-relative:page;mso-position-vertical-relative:paragraph;z-index:15731712" id="docshape12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CALI Excellence for the Future Award in Federal Income </w:t>
      </w:r>
      <w:r>
        <w:rPr>
          <w:color w:val="6E6158"/>
          <w:sz w:val="19"/>
        </w:rPr>
        <w:t>Taxation Staff, </w:t>
      </w:r>
      <w:r>
        <w:rPr>
          <w:i/>
          <w:color w:val="6E6158"/>
          <w:sz w:val="20"/>
        </w:rPr>
        <w:t>University of Kansas Law Review</w:t>
      </w:r>
    </w:p>
    <w:p>
      <w:pPr>
        <w:pStyle w:val="Heading1"/>
        <w:spacing w:before="14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05pt;width:1.65pt;height:1.65pt;mso-position-horizontal-relative:page;mso-position-vertical-relative:paragraph;z-index:15732224" id="docshape1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0" w:lineRule="auto" w:before="174"/>
        <w:ind w:right="5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5pt;width:1.65pt;height:1.65pt;mso-position-horizontal-relative:page;mso-position-vertical-relative:paragraph;z-index:15732736" id="docshape14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428496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9899pt;width:1.65pt;height:1.65pt;mso-position-horizontal-relative:page;mso-position-vertical-relative:paragraph;z-index:15733248" id="docshape15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Client and Wealth </w:t>
      </w:r>
      <w:r>
        <w:rPr>
          <w:color w:val="6E6158"/>
        </w:rPr>
        <w:t>Preservation Trusts &amp; Estates</w:t>
      </w:r>
    </w:p>
    <w:p>
      <w:pPr>
        <w:pStyle w:val="BodyText"/>
        <w:spacing w:line="427" w:lineRule="auto"/>
        <w:ind w:right="78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58631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6680pt;width:1.65pt;height:1.65pt;mso-position-horizontal-relative:page;mso-position-vertical-relative:paragraph;z-index:15733760" id="docshape1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322164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304pt;width:1.65pt;height:1.65pt;mso-position-horizontal-relative:page;mso-position-vertical-relative:paragraph;z-index:15734272" id="docshape17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081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168444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308pt;width:1.65pt;height:1.65pt;mso-position-horizontal-relative:page;mso-position-vertical-relative:paragraph;z-index:15735296" id="docshape19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5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152722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376pt;width:1.65pt;height:1.65pt;mso-position-horizontal-relative:page;mso-position-vertical-relative:paragraph;z-index:15735808" id="docshape20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“Tweets,</w:t>
      </w:r>
      <w:r>
        <w:rPr>
          <w:color w:val="6E6158"/>
          <w:spacing w:val="13"/>
        </w:rPr>
        <w:t> </w:t>
      </w:r>
      <w:r>
        <w:rPr>
          <w:color w:val="6E6158"/>
        </w:rPr>
        <w:t>Tips,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Taxes,”</w:t>
      </w:r>
      <w:r>
        <w:rPr>
          <w:color w:val="6E6158"/>
          <w:spacing w:val="12"/>
        </w:rPr>
        <w:t> </w:t>
      </w:r>
      <w:r>
        <w:rPr>
          <w:color w:val="6E6158"/>
        </w:rPr>
        <w:t>Channelchek,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4"/>
        <w:ind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169817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42pt;width:1.65pt;height:1.65pt;mso-position-horizontal-relative:page;mso-position-vertical-relative:paragraph;z-index:15736320" id="docshape2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Author, “Arizona Department of Revenue Extends Due Dates,” Fennemore Client Alert, April </w:t>
        </w:r>
        <w:r>
          <w:rPr>
            <w:color w:val="FF8100"/>
          </w:rPr>
          <w:t>7,</w:t>
        </w:r>
      </w:hyperlink>
      <w:r>
        <w:rPr>
          <w:color w:val="FF8100"/>
        </w:rPr>
        <w:t> </w:t>
      </w:r>
      <w:hyperlink r:id="rId11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302" w:lineRule="auto" w:before="123"/>
        <w:ind w:right="6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137609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393pt;width:1.65pt;height:1.65pt;mso-position-horizontal-relative:page;mso-position-vertical-relative:paragraph;z-index:15736832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“Arizona Tax Increase, Estimated Tax Payments, and Proposition 208,” Fennemore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Client Alert, March 22, 2021</w:t>
        </w:r>
      </w:hyperlink>
    </w:p>
    <w:p>
      <w:pPr>
        <w:pStyle w:val="BodyText"/>
        <w:spacing w:line="292" w:lineRule="auto" w:before="113"/>
        <w:ind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131120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425pt;width:1.65pt;height:1.65pt;mso-position-horizontal-relative:page;mso-position-vertical-relative:paragraph;z-index:15737344" id="docshape2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“Federal Return Filing Date and Tax Payment Date Extended,” Fennemore Client Alert,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March 19, 2021</w:t>
        </w:r>
      </w:hyperlink>
    </w:p>
    <w:p>
      <w:pPr>
        <w:pStyle w:val="BodyText"/>
        <w:spacing w:line="302" w:lineRule="auto" w:before="123"/>
        <w:ind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137647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399pt;width:1.65pt;height:1.65pt;mso-position-horizontal-relative:page;mso-position-vertical-relative:paragraph;z-index:15737856" id="docshape2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“Federal Tax Filing and Payment Due Dates Will Not Change,” Fennemore Client Alert,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July 2, 2020</w:t>
        </w:r>
      </w:hyperlink>
    </w:p>
    <w:p>
      <w:pPr>
        <w:pStyle w:val="BodyText"/>
        <w:spacing w:line="420" w:lineRule="auto" w:before="113"/>
        <w:ind w:right="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131158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431pt;width:1.65pt;height:1.65pt;mso-position-horizontal-relative:page;mso-position-vertical-relative:paragraph;z-index:15738368" id="docshape25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389523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71179pt;width:1.65pt;height:1.65pt;mso-position-horizontal-relative:page;mso-position-vertical-relative:paragraph;z-index:15738880" id="docshape26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“Arizona Tax Relief vs. Federal Tax Relief,” Fennemore Client Alert, April 13, 2020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Author, “The IRS Expands Tax Relief – Again!” Fennemore Client Alert, April 10, 2020</w:t>
        </w:r>
      </w:hyperlink>
    </w:p>
    <w:p>
      <w:pPr>
        <w:pStyle w:val="BodyText"/>
        <w:spacing w:line="292" w:lineRule="auto" w:before="6"/>
        <w:ind w:right="5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63561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836pt;width:1.65pt;height:1.65pt;mso-position-horizontal-relative:page;mso-position-vertical-relative:paragraph;z-index:15739392" id="docshape2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“The CARES Act: New Tax Provisions for Charitable Deductions,” Fennemore Client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Alert, March 31, 2020</w:t>
        </w:r>
      </w:hyperlink>
    </w:p>
    <w:p>
      <w:pPr>
        <w:pStyle w:val="BodyText"/>
        <w:spacing w:line="292" w:lineRule="auto" w:before="124"/>
        <w:ind w:righ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138033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81pt;width:1.65pt;height:1.65pt;mso-position-horizontal-relative:page;mso-position-vertical-relative:paragraph;z-index:1573990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“Gift and GST Tax Payment and Filing Deadlines Extended,” Fennemore Client Alert,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March 30, 2020</w:t>
        </w:r>
      </w:hyperlink>
    </w:p>
    <w:p>
      <w:pPr>
        <w:pStyle w:val="BodyText"/>
        <w:spacing w:line="292" w:lineRule="auto" w:before="131"/>
        <w:ind w:right="6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142743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657pt;width:1.65pt;height:1.65pt;mso-position-horizontal-relative:page;mso-position-vertical-relative:paragraph;z-index:15740416" id="docshape2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 “Recent Tax Developments – December 2019 IRA and Retirement Plan Alert,”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Fennemore Client Alert, December 23, 2019</w:t>
        </w:r>
      </w:hyperlink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152393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89pt;width:1.65pt;height:1.65pt;mso-position-horizontal-relative:page;mso-position-vertical-relative:paragraph;z-index:15740928" id="docshape3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Convention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78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157929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376pt;width:1.65pt;height:1.65pt;mso-position-horizontal-relative:page;mso-position-vertical-relative:paragraph;z-index:15741440" id="docshape3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416294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125pt;width:1.65pt;height:1.65pt;mso-position-horizontal-relative:page;mso-position-vertical-relative:paragraph;z-index:15741952" id="docshape3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674660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2875pt;width:1.65pt;height:1.65pt;mso-position-horizontal-relative:page;mso-position-vertical-relative:paragraph;z-index:15742464" id="docshape33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Virginia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57990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6172pt;width:1.65pt;height:1.65pt;mso-position-horizontal-relative:page;mso-position-vertical-relative:paragraph;z-index:15742976" id="docshape34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Virginia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175111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293pt;width:1.65pt;height:1.65pt;mso-position-horizontal-relative:page;mso-position-vertical-relative:paragraph;z-index:15743488" id="docshape3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Fourth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after="0"/>
        <w:sectPr>
          <w:pgSz w:w="12240" w:h="15840"/>
          <w:pgMar w:top="52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000" id="docshape3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aldous@fennemorelaw.com" TargetMode="External"/><Relationship Id="rId11" Type="http://schemas.openxmlformats.org/officeDocument/2006/relationships/hyperlink" Target="https://www.fennemorelaw.com/insights/newsletters/2021/arizona-department-of-revenue-extends-due-dates" TargetMode="External"/><Relationship Id="rId12" Type="http://schemas.openxmlformats.org/officeDocument/2006/relationships/hyperlink" Target="https://www.fennemorelaw.com/insights/newsletters/2021/arizona-tax-increase-estimated-tax-payments-and-proposition-208" TargetMode="External"/><Relationship Id="rId13" Type="http://schemas.openxmlformats.org/officeDocument/2006/relationships/hyperlink" Target="https://www.fennemorelaw.com/insights/newsletters/2021/federal-return-filing-date-and-tax-payment-date-extended" TargetMode="External"/><Relationship Id="rId14" Type="http://schemas.openxmlformats.org/officeDocument/2006/relationships/hyperlink" Target="https://www.fennemorelaw.com/insights/newsletters/2020/federal-tax-filing-and-payment-due-dates-will-not-change" TargetMode="External"/><Relationship Id="rId15" Type="http://schemas.openxmlformats.org/officeDocument/2006/relationships/hyperlink" Target="https://www.fennemorelaw.com/insights/newsletters/2020/arizona-tax-relief-vs-federal-tax-relief" TargetMode="External"/><Relationship Id="rId16" Type="http://schemas.openxmlformats.org/officeDocument/2006/relationships/hyperlink" Target="https://www.fennemorelaw.com/insights/newsletters/2020/the-irs-expands-tax-relief---again" TargetMode="External"/><Relationship Id="rId17" Type="http://schemas.openxmlformats.org/officeDocument/2006/relationships/hyperlink" Target="https://www.fennemorelaw.com/insights/newsletters/2020/the-cares-act-new-tax-provisions-for-charitable-deductions" TargetMode="External"/><Relationship Id="rId18" Type="http://schemas.openxmlformats.org/officeDocument/2006/relationships/hyperlink" Target="https://www.fennemorelaw.com/insights/newsletters/2020/gift-and-gst-tax-payment-and-filing-deadlines-extended" TargetMode="External"/><Relationship Id="rId19" Type="http://schemas.openxmlformats.org/officeDocument/2006/relationships/hyperlink" Target="https://www.fennemorelaw.com/insights/newsletters/2019/recent-tax-developments---2019-december-ira-and-retirement-plan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2025-01-06T17:08:39Z</dcterms:created>
  <dcterms:modified xsi:type="dcterms:W3CDTF">2025-01-06T17:08:39Z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