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9604" y="1369338"/>
                            <a:ext cx="20205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0570" h="320675">
                                <a:moveTo>
                                  <a:pt x="202041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20417" y="320382"/>
                                </a:lnTo>
                                <a:lnTo>
                                  <a:pt x="2020417" y="315214"/>
                                </a:lnTo>
                                <a:close/>
                              </a:path>
                              <a:path w="2020570" h="320675">
                                <a:moveTo>
                                  <a:pt x="2020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20417" y="5168"/>
                                </a:lnTo>
                                <a:lnTo>
                                  <a:pt x="2020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TIMOTHY C.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EARL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619.595.3279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tearl@fennemorelaw.com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74;top:2156;width:3182;height:505" id="docshape5" coordorigin="5574,2156" coordsize="3182,505" path="m8756,2653l5574,2653,5574,2661,8756,2661,8756,2653xm8756,2156l5574,2156,5574,2165,8756,2165,8756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TIMOTHY C.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EARL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619.595.3279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tearl@fennemorelaw.com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TIMOTHY</w:t>
      </w:r>
      <w:r>
        <w:rPr>
          <w:color w:val="FF8100"/>
          <w:spacing w:val="7"/>
        </w:rPr>
        <w:t> </w:t>
      </w:r>
      <w:r>
        <w:rPr>
          <w:color w:val="FF8100"/>
        </w:rPr>
        <w:t>C.</w:t>
      </w:r>
      <w:r>
        <w:rPr>
          <w:color w:val="FF8100"/>
          <w:spacing w:val="7"/>
        </w:rPr>
        <w:t> </w:t>
      </w:r>
      <w:r>
        <w:rPr>
          <w:color w:val="FF8100"/>
          <w:spacing w:val="-4"/>
        </w:rPr>
        <w:t>EARL</w:t>
      </w:r>
    </w:p>
    <w:p>
      <w:pPr>
        <w:pStyle w:val="BodyText"/>
        <w:spacing w:line="297" w:lineRule="auto" w:before="147"/>
        <w:ind w:left="104" w:right="589"/>
      </w:pPr>
      <w:r>
        <w:rPr>
          <w:color w:val="6E6158"/>
        </w:rPr>
        <w:t>Timothy C. Earl, an insurance coverage, construction and business litigation attorney, is a skilled</w:t>
      </w:r>
      <w:r>
        <w:rPr>
          <w:color w:val="6E6158"/>
          <w:spacing w:val="40"/>
        </w:rPr>
        <w:t> </w:t>
      </w:r>
      <w:r>
        <w:rPr>
          <w:color w:val="6E6158"/>
        </w:rPr>
        <w:t>litigation attorney with a focus on comprehensive insurance coverage and construction law.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40"/>
        </w:rPr>
        <w:t> </w:t>
      </w:r>
      <w:r>
        <w:rPr>
          <w:color w:val="6E6158"/>
        </w:rPr>
        <w:t>spans,</w:t>
      </w:r>
      <w:r>
        <w:rPr>
          <w:color w:val="6E6158"/>
          <w:spacing w:val="40"/>
        </w:rPr>
        <w:t> </w:t>
      </w:r>
      <w:r>
        <w:rPr>
          <w:color w:val="6E6158"/>
        </w:rPr>
        <w:t>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handling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complex</w:t>
      </w:r>
      <w:r>
        <w:rPr>
          <w:color w:val="6E6158"/>
          <w:spacing w:val="13"/>
        </w:rPr>
        <w:t> </w:t>
      </w:r>
      <w:r>
        <w:rPr>
          <w:color w:val="6E6158"/>
        </w:rPr>
        <w:t>cases</w:t>
      </w:r>
      <w:r>
        <w:rPr>
          <w:color w:val="6E6158"/>
          <w:spacing w:val="14"/>
        </w:rPr>
        <w:t> </w:t>
      </w:r>
      <w:r>
        <w:rPr>
          <w:color w:val="6E6158"/>
        </w:rPr>
        <w:t>including</w:t>
      </w:r>
      <w:r>
        <w:rPr>
          <w:color w:val="6E6158"/>
          <w:spacing w:val="14"/>
        </w:rPr>
        <w:t> </w:t>
      </w:r>
      <w:r>
        <w:rPr>
          <w:color w:val="6E6158"/>
        </w:rPr>
        <w:t>policy</w:t>
      </w:r>
      <w:r>
        <w:rPr>
          <w:color w:val="6E6158"/>
          <w:spacing w:val="13"/>
        </w:rPr>
        <w:t> </w:t>
      </w:r>
      <w:r>
        <w:rPr>
          <w:color w:val="6E6158"/>
        </w:rPr>
        <w:t>interpretation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bad</w:t>
      </w:r>
      <w:r>
        <w:rPr>
          <w:color w:val="6E6158"/>
          <w:spacing w:val="14"/>
        </w:rPr>
        <w:t> </w:t>
      </w:r>
      <w:r>
        <w:rPr>
          <w:color w:val="6E6158"/>
        </w:rPr>
        <w:t>faith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left="104" w:right="589"/>
      </w:pPr>
      <w:r>
        <w:rPr>
          <w:color w:val="6E6158"/>
        </w:rPr>
        <w:t>In insurance coverage litigation, Timothy represents policyholders and insurance companies in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variety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coverage</w:t>
      </w:r>
      <w:r>
        <w:rPr>
          <w:color w:val="6E6158"/>
          <w:spacing w:val="35"/>
        </w:rPr>
        <w:t> </w:t>
      </w:r>
      <w:r>
        <w:rPr>
          <w:color w:val="6E6158"/>
        </w:rPr>
        <w:t>disputes</w:t>
      </w:r>
      <w:r>
        <w:rPr>
          <w:color w:val="6E6158"/>
          <w:spacing w:val="35"/>
        </w:rPr>
        <w:t> </w:t>
      </w:r>
      <w:r>
        <w:rPr>
          <w:color w:val="6E6158"/>
        </w:rPr>
        <w:t>primarily</w:t>
      </w:r>
      <w:r>
        <w:rPr>
          <w:color w:val="6E6158"/>
          <w:spacing w:val="35"/>
        </w:rPr>
        <w:t> </w:t>
      </w:r>
      <w:r>
        <w:rPr>
          <w:color w:val="6E6158"/>
        </w:rPr>
        <w:t>involving</w:t>
      </w:r>
      <w:r>
        <w:rPr>
          <w:color w:val="6E6158"/>
          <w:spacing w:val="35"/>
        </w:rPr>
        <w:t> </w:t>
      </w:r>
      <w:r>
        <w:rPr>
          <w:color w:val="6E6158"/>
        </w:rPr>
        <w:t>property</w:t>
      </w:r>
      <w:r>
        <w:rPr>
          <w:color w:val="6E6158"/>
          <w:spacing w:val="35"/>
        </w:rPr>
        <w:t> </w:t>
      </w:r>
      <w:r>
        <w:rPr>
          <w:color w:val="6E6158"/>
        </w:rPr>
        <w:t>damage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bodily</w:t>
      </w:r>
      <w:r>
        <w:rPr>
          <w:color w:val="6E6158"/>
          <w:spacing w:val="35"/>
        </w:rPr>
        <w:t> </w:t>
      </w:r>
      <w:r>
        <w:rPr>
          <w:color w:val="6E6158"/>
        </w:rPr>
        <w:t>injury arising</w:t>
      </w:r>
      <w:r>
        <w:rPr>
          <w:color w:val="6E6158"/>
          <w:spacing w:val="33"/>
        </w:rPr>
        <w:t> </w:t>
      </w:r>
      <w:r>
        <w:rPr>
          <w:color w:val="6E6158"/>
        </w:rPr>
        <w:t>out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construction</w:t>
      </w:r>
      <w:r>
        <w:rPr>
          <w:color w:val="6E6158"/>
          <w:spacing w:val="33"/>
        </w:rPr>
        <w:t> </w:t>
      </w:r>
      <w:r>
        <w:rPr>
          <w:color w:val="6E6158"/>
        </w:rPr>
        <w:t>defect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asbestos</w:t>
      </w:r>
      <w:r>
        <w:rPr>
          <w:color w:val="6E6158"/>
          <w:spacing w:val="33"/>
        </w:rPr>
        <w:t> </w:t>
      </w:r>
      <w:r>
        <w:rPr>
          <w:color w:val="6E6158"/>
        </w:rPr>
        <w:t>claims.</w:t>
      </w:r>
      <w:r>
        <w:rPr>
          <w:color w:val="6E6158"/>
          <w:spacing w:val="33"/>
        </w:rPr>
        <w:t> </w:t>
      </w:r>
      <w:r>
        <w:rPr>
          <w:color w:val="6E6158"/>
        </w:rPr>
        <w:t>He</w:t>
      </w:r>
      <w:r>
        <w:rPr>
          <w:color w:val="6E6158"/>
          <w:spacing w:val="33"/>
        </w:rPr>
        <w:t> </w:t>
      </w:r>
      <w:r>
        <w:rPr>
          <w:color w:val="6E6158"/>
        </w:rPr>
        <w:t>represents</w:t>
      </w:r>
      <w:r>
        <w:rPr>
          <w:color w:val="6E6158"/>
          <w:spacing w:val="33"/>
        </w:rPr>
        <w:t> </w:t>
      </w:r>
      <w:r>
        <w:rPr>
          <w:color w:val="6E6158"/>
        </w:rPr>
        <w:t>policyholders</w:t>
      </w:r>
      <w:r>
        <w:rPr>
          <w:color w:val="6E6158"/>
          <w:spacing w:val="33"/>
        </w:rPr>
        <w:t> </w:t>
      </w:r>
      <w:r>
        <w:rPr>
          <w:color w:val="6E6158"/>
        </w:rPr>
        <w:t>in declaratory relief and bad faith actions against insurers, and has represented insurers in</w:t>
      </w:r>
      <w:r>
        <w:rPr>
          <w:color w:val="6E6158"/>
          <w:spacing w:val="40"/>
        </w:rPr>
        <w:t> </w:t>
      </w:r>
      <w:r>
        <w:rPr>
          <w:color w:val="6E6158"/>
        </w:rPr>
        <w:t>subrogation and contribution actions against other insurers.</w:t>
      </w:r>
    </w:p>
    <w:p>
      <w:pPr>
        <w:pStyle w:val="BodyText"/>
        <w:spacing w:line="295" w:lineRule="auto" w:before="195"/>
        <w:ind w:left="104" w:right="871"/>
      </w:pPr>
      <w:r>
        <w:rPr>
          <w:color w:val="6E6158"/>
        </w:rPr>
        <w:t>In construction litigation, Timothy represents a wide array of clients, such as developers,</w:t>
      </w:r>
      <w:r>
        <w:rPr>
          <w:color w:val="6E6158"/>
          <w:spacing w:val="40"/>
        </w:rPr>
        <w:t> </w:t>
      </w:r>
      <w:r>
        <w:rPr>
          <w:color w:val="6E6158"/>
        </w:rPr>
        <w:t>architects, and contractors in both residential and commercial projects. He’s skilled at managing indemnity claims, construction defect cases, mechanic’s lien disputes and </w:t>
      </w:r>
      <w:r>
        <w:rPr>
          <w:color w:val="6E6158"/>
        </w:rPr>
        <w:t>bid protests. His knowledge also extends to representing sureties on bond claims.</w:t>
      </w:r>
    </w:p>
    <w:p>
      <w:pPr>
        <w:pStyle w:val="BodyText"/>
        <w:spacing w:line="292" w:lineRule="auto" w:before="196"/>
        <w:ind w:left="104" w:right="589"/>
      </w:pPr>
      <w:r>
        <w:rPr>
          <w:color w:val="6E6158"/>
        </w:rPr>
        <w:t>Additionally, Timothy’s business litigation experience includes representing companies in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related to real estate, unfair competition, and various tort claims. His ability to provide strategic,</w:t>
      </w:r>
      <w:r>
        <w:rPr>
          <w:color w:val="6E6158"/>
          <w:spacing w:val="40"/>
        </w:rPr>
        <w:t> </w:t>
      </w:r>
      <w:r>
        <w:rPr>
          <w:color w:val="6E6158"/>
        </w:rPr>
        <w:t>efficient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solutions</w:t>
      </w:r>
      <w:r>
        <w:rPr>
          <w:color w:val="6E6158"/>
          <w:spacing w:val="29"/>
        </w:rPr>
        <w:t> </w:t>
      </w:r>
      <w:r>
        <w:rPr>
          <w:color w:val="6E6158"/>
        </w:rPr>
        <w:t>makes</w:t>
      </w:r>
      <w:r>
        <w:rPr>
          <w:color w:val="6E6158"/>
          <w:spacing w:val="29"/>
        </w:rPr>
        <w:t> </w:t>
      </w:r>
      <w:r>
        <w:rPr>
          <w:color w:val="6E6158"/>
        </w:rPr>
        <w:t>him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valuable</w:t>
      </w:r>
      <w:r>
        <w:rPr>
          <w:color w:val="6E6158"/>
          <w:spacing w:val="29"/>
        </w:rPr>
        <w:t> </w:t>
      </w:r>
      <w:r>
        <w:rPr>
          <w:color w:val="6E6158"/>
        </w:rPr>
        <w:t>asset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insurance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</w:p>
    <w:p>
      <w:pPr>
        <w:pStyle w:val="BodyText"/>
        <w:spacing w:before="10"/>
        <w:ind w:left="104"/>
      </w:pPr>
      <w:r>
        <w:rPr>
          <w:color w:val="6E6158"/>
          <w:spacing w:val="-2"/>
        </w:rPr>
        <w:t>sectors.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55pt;width:1.65pt;height:1.65pt;mso-position-horizontal-relative:page;mso-position-vertical-relative:paragraph;z-index:15729152" id="docshape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410730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003pt;width:1.65pt;height:1.65pt;mso-position-horizontal-relative:page;mso-position-vertical-relative:paragraph;z-index:15729664" id="docshape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Diego School of </w:t>
      </w:r>
      <w:r>
        <w:rPr>
          <w:color w:val="6E6158"/>
        </w:rPr>
        <w:t>Law</w:t>
      </w:r>
      <w:r>
        <w:rPr>
          <w:color w:val="6E6158"/>
        </w:rPr>
        <w:t> B.A., University of California, Davis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8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152660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519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411026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269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669391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8015pt;width:1.65pt;height:1.65pt;mso-position-horizontal-relative:page;mso-position-vertical-relative:paragraph;z-index:15731200" id="docshape11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Insurance </w:t>
      </w:r>
      <w:r>
        <w:rPr>
          <w:color w:val="6E6158"/>
        </w:rPr>
        <w:t>Coverage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12" w:lineRule="auto" w:before="147"/>
        <w:ind w:right="3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71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2224" id="docshape1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</w:t>
      </w:r>
      <w:r>
        <w:rPr>
          <w:color w:val="6E6158"/>
        </w:rPr>
        <w:t>Martindale</w:t>
      </w:r>
      <w:r>
        <w:rPr>
          <w:rFonts w:ascii="DejaVu Sans" w:hAnsi="DejaVu Sans"/>
          <w:color w:val="6E6158"/>
        </w:rPr>
        <w:t>‐</w:t>
      </w:r>
      <w:r>
        <w:rPr>
          <w:color w:val="6E6158"/>
        </w:rPr>
        <w:t>Hubbell Top Rated Litigator by the Legal Leaders of ALM, 2021-2023</w:t>
      </w:r>
    </w:p>
    <w:p>
      <w:pPr>
        <w:pStyle w:val="BodyText"/>
        <w:spacing w:line="420" w:lineRule="auto" w:before="17"/>
        <w:ind w:right="3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70587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58073pt;width:1.65pt;height:1.65pt;mso-position-horizontal-relative:page;mso-position-vertical-relative:paragraph;z-index:15732736" id="docshape14" coordorigin="1675,111" coordsize="33,33" path="m1696,144l1687,144,1683,142,1676,136,1675,132,1675,123,1676,119,1683,113,1687,111,1696,111,1699,113,1706,119,1707,123,1707,127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328953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1823pt;width:1.65pt;height:1.65pt;mso-position-horizontal-relative:page;mso-position-vertical-relative:paragraph;z-index:15733248" id="docshape15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 in the field of Litigation – </w:t>
      </w:r>
      <w:r>
        <w:rPr>
          <w:color w:val="6E6158"/>
        </w:rPr>
        <w:t>Construction Super Lawyer – Insurance Coverage, 2019-2023</w:t>
      </w:r>
    </w:p>
    <w:p>
      <w:pPr>
        <w:pStyle w:val="BodyText"/>
        <w:spacing w:line="420" w:lineRule="auto"/>
        <w:ind w:right="38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58783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604pt;width:1.65pt;height:1.65pt;mso-position-horizontal-relative:page;mso-position-vertical-relative:paragraph;z-index:15733760" id="docshape16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317148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2353pt;width:1.65pt;height:1.65pt;mso-position-horizontal-relative:page;mso-position-vertical-relative:paragraph;z-index:15734272" id="docshape17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San Diego Lawyer by San Diego Magazine, 2013-</w:t>
      </w:r>
      <w:r>
        <w:rPr>
          <w:color w:val="6E6158"/>
        </w:rPr>
        <w:t>2023 Top 100 Leaders in Law by San Diego Business Journal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62941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6009pt;width:1.65pt;height:1.65pt;mso-position-horizontal-relative:page;mso-position-vertical-relative:paragraph;z-index:15734784" id="docshape18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2"/>
        </w:rPr>
        <w:t> </w:t>
      </w:r>
      <w:r>
        <w:rPr>
          <w:color w:val="6E6158"/>
        </w:rPr>
        <w:t>Lawyer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LA</w:t>
      </w:r>
      <w:r>
        <w:rPr>
          <w:color w:val="6E6158"/>
          <w:spacing w:val="12"/>
        </w:rPr>
        <w:t> </w:t>
      </w:r>
      <w:r>
        <w:rPr>
          <w:color w:val="6E6158"/>
        </w:rPr>
        <w:t>Times,</w:t>
      </w:r>
      <w:r>
        <w:rPr>
          <w:color w:val="6E6158"/>
          <w:spacing w:val="13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74"/>
        <w:ind w:right="20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170206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054pt;width:1.65pt;height:1.65pt;mso-position-horizontal-relative:page;mso-position-vertical-relative:paragraph;z-index:15735296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428571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5804pt;width:1.65pt;height:1.65pt;mso-position-horizontal-relative:page;mso-position-vertical-relative:paragraph;z-index:15735808" id="docshape20" coordorigin="1675,675" coordsize="33,33" path="m1696,707l1687,707,1683,706,1676,700,1675,696,1675,687,1676,683,1683,677,1687,675,1696,675,1699,677,1706,683,1707,687,1707,691,1707,696,1706,700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San Diego Attorney in Insurance Coverage by San Diego Daily </w:t>
      </w:r>
      <w:r>
        <w:rPr>
          <w:color w:val="6E6158"/>
        </w:rPr>
        <w:t>Transcript Top 1% of The American Registry, “Best of the Best”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55"/>
        <w:ind w:right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157801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318pt;width:1.65pt;height:1.65pt;mso-position-horizontal-relative:page;mso-position-vertical-relative:paragraph;z-index:15736320" id="docshape21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&amp; Presenter, “Understanding Deductibles and Self-Insured Retentions,” The </w:t>
      </w:r>
      <w:r>
        <w:rPr>
          <w:color w:val="6E6158"/>
        </w:rPr>
        <w:t>Seminar Group’s Insurance in Construction Industry Seminar, January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137658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9291pt;width:1.65pt;height:1.65pt;mso-position-horizontal-relative:page;mso-position-vertical-relative:paragraph;z-index:15736832" id="docshape2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“WRAP</w:t>
      </w:r>
      <w:r>
        <w:rPr>
          <w:color w:val="6E6158"/>
          <w:spacing w:val="11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</w:rPr>
        <w:t>Live</w:t>
      </w:r>
      <w:r>
        <w:rPr>
          <w:color w:val="6E6158"/>
          <w:spacing w:val="11"/>
        </w:rPr>
        <w:t> </w:t>
      </w:r>
      <w:r>
        <w:rPr>
          <w:color w:val="6E6158"/>
        </w:rPr>
        <w:t>Webcast,”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Seminar</w:t>
      </w:r>
      <w:r>
        <w:rPr>
          <w:color w:val="6E6158"/>
          <w:spacing w:val="11"/>
        </w:rPr>
        <w:t> </w:t>
      </w:r>
      <w:r>
        <w:rPr>
          <w:color w:val="6E6158"/>
        </w:rPr>
        <w:t>Group,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169993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335pt;width:1.65pt;height:1.65pt;mso-position-horizontal-relative:page;mso-position-vertical-relative:paragraph;z-index:15737344" id="docshape2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“Does Business Interruption Insurance Cover COVID-19 Related Business Shutdowns </w:t>
      </w:r>
      <w:r>
        <w:rPr>
          <w:color w:val="6E6158"/>
        </w:rPr>
        <w:t>in California, Firm Newsletter, 2020</w:t>
      </w:r>
    </w:p>
    <w:p>
      <w:pPr>
        <w:pStyle w:val="BodyText"/>
        <w:spacing w:line="292" w:lineRule="auto" w:before="113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131119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4367pt;width:1.65pt;height:1.65pt;mso-position-horizontal-relative:page;mso-position-vertical-relative:paragraph;z-index:15737856" id="docshape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Law: Wrapping Your Head Around Wrap Policies,” AGC San Diego, November 2017</w:t>
      </w:r>
    </w:p>
    <w:p>
      <w:pPr>
        <w:pStyle w:val="BodyText"/>
        <w:spacing w:line="302" w:lineRule="auto" w:before="123"/>
        <w:ind w:right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137646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34pt;width:1.65pt;height:1.65pt;mso-position-horizontal-relative:page;mso-position-vertical-relative:paragraph;z-index:15738368" id="docshape2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“Insurance Archaeology – Raiders of the Lost Policies,” San Diego County Bar Association, May 2016</w:t>
      </w:r>
    </w:p>
    <w:p>
      <w:pPr>
        <w:pStyle w:val="BodyText"/>
        <w:spacing w:line="292" w:lineRule="auto" w:before="113"/>
        <w:ind w:right="589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131157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372pt;width:1.65pt;height:1.65pt;mso-position-horizontal-relative:page;mso-position-vertical-relative:paragraph;z-index:15738880" id="docshape26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“California Law for Design Professionals,” Lorman Education Services, September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2002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38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152959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079pt;width:1.65pt;height:1.65pt;mso-position-horizontal-relative:page;mso-position-vertical-relative:paragraph;z-index:15739392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411325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7829pt;width:1.65pt;height:1.65pt;mso-position-horizontal-relative:page;mso-position-vertical-relative:paragraph;z-index:15739904" id="docshape28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Construction Lawyers Society of </w:t>
      </w:r>
      <w:r>
        <w:rPr>
          <w:color w:val="6E6158"/>
        </w:rPr>
        <w:t>America Member, Trial Law Institute</w:t>
      </w:r>
    </w:p>
    <w:p>
      <w:pPr>
        <w:pStyle w:val="BodyText"/>
        <w:spacing w:line="420" w:lineRule="auto"/>
        <w:ind w:right="57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58605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4609pt;width:1.65pt;height:1.65pt;mso-position-horizontal-relative:page;mso-position-vertical-relative:paragraph;z-index:15740416" id="docshape2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316971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8359pt;width:1.65pt;height:1.65pt;mso-position-horizontal-relative:page;mso-position-vertical-relative:paragraph;z-index:15740928" id="docshape30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Diversity Law Institute Member, American Bar </w:t>
      </w:r>
      <w:r>
        <w:rPr>
          <w:color w:val="6E6158"/>
        </w:rPr>
        <w:t>Association</w:t>
      </w:r>
    </w:p>
    <w:p>
      <w:pPr>
        <w:pStyle w:val="BodyText"/>
        <w:spacing w:line="420" w:lineRule="auto" w:before="5"/>
        <w:ind w:right="45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62763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2015pt;width:1.65pt;height:1.65pt;mso-position-horizontal-relative:page;mso-position-vertical-relative:paragraph;z-index:15741440" id="docshape31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321129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5765pt;width:1.65pt;height:1.65pt;mso-position-horizontal-relative:page;mso-position-vertical-relative:paragraph;z-index:15741952" id="docshape32" coordorigin="1675,506" coordsize="33,33" path="m1696,538l1687,538,1683,537,1676,530,1675,526,1675,517,1676,514,1683,507,1687,506,1696,506,1699,507,1706,514,1707,517,1707,522,1707,526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Association Member, Building Industry Association of San </w:t>
      </w:r>
      <w:r>
        <w:rPr>
          <w:color w:val="6E6158"/>
        </w:rPr>
        <w:t>Diego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58579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545pt;width:1.65pt;height:1.65pt;mso-position-horizontal-relative:page;mso-position-vertical-relative:paragraph;z-index:15742464" id="docshape3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157834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9pt;width:1.65pt;height:1.65pt;mso-position-horizontal-relative:page;mso-position-vertical-relative:paragraph;z-index:15742976" id="docshape34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8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169849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944pt;width:1.65pt;height:1.65pt;mso-position-horizontal-relative:page;mso-position-vertical-relative:paragraph;z-index:15743488" id="docshape3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428214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7693pt;width:1.65pt;height:1.65pt;mso-position-horizontal-relative:page;mso-position-vertical-relative:paragraph;z-index:15744000" id="docshape36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for Central, Northern, Eastern and Southern Districts of </w:t>
      </w:r>
      <w:r>
        <w:rPr>
          <w:color w:val="6E6158"/>
        </w:rPr>
        <w:t>California</w:t>
      </w:r>
      <w:r>
        <w:rPr>
          <w:color w:val="6E6158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58349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475pt;width:1.65pt;height:1.65pt;mso-position-horizontal-relative:page;mso-position-vertical-relative:paragraph;z-index:15744512" id="docshape37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tear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2025-01-07T15:28:20Z</dcterms:created>
  <dcterms:modified xsi:type="dcterms:W3CDTF">2025-01-07T15:28:20Z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