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7450" y="1369338"/>
                            <a:ext cx="184531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310" h="320675">
                                <a:moveTo>
                                  <a:pt x="184472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44725" y="320382"/>
                                </a:lnTo>
                                <a:lnTo>
                                  <a:pt x="1844725" y="315214"/>
                                </a:lnTo>
                                <a:close/>
                              </a:path>
                              <a:path w="1845310" h="320675">
                                <a:moveTo>
                                  <a:pt x="1844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44725" y="5168"/>
                                </a:lnTo>
                                <a:lnTo>
                                  <a:pt x="1844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LISA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FAYE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PETAK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Santa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Barbara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627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805.420.6007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805.420.6001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lpetak@fennemorelaw.com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12;top:2156;width:2906;height:505" id="docshape5" coordorigin="5713,2156" coordsize="2906,505" path="m8618,2653l5713,2653,5713,2661,8618,2661,8618,2653xm8618,2156l5713,2156,5713,2165,8618,2165,8618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LISA</w:t>
                        </w:r>
                        <w:r>
                          <w:rPr>
                            <w:color w:val="FFFFFF"/>
                            <w:spacing w:val="-20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FAYE</w:t>
                        </w:r>
                        <w:r>
                          <w:rPr>
                            <w:color w:val="FFFFFF"/>
                            <w:spacing w:val="-20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PETAK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Santa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Barbara</w:t>
                          </w:r>
                        </w:hyperlink>
                      </w:p>
                      <w:p>
                        <w:pPr>
                          <w:tabs>
                            <w:tab w:pos="1627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805.420.6007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805.420.6001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lpetak@fennemorelaw.com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LISA</w:t>
      </w:r>
      <w:r>
        <w:rPr>
          <w:color w:val="FF8100"/>
          <w:spacing w:val="6"/>
        </w:rPr>
        <w:t> </w:t>
      </w:r>
      <w:r>
        <w:rPr>
          <w:color w:val="FF8100"/>
        </w:rPr>
        <w:t>FAYE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PETAK</w:t>
      </w:r>
    </w:p>
    <w:p>
      <w:pPr>
        <w:pStyle w:val="BodyText"/>
        <w:spacing w:line="302" w:lineRule="auto" w:before="147"/>
        <w:ind w:right="634"/>
      </w:pPr>
      <w:r>
        <w:rPr>
          <w:color w:val="6E6158"/>
        </w:rPr>
        <w:t>Lisa Faye Petak is an Of Counsel attorney in Fennemore’s Trust &amp; Estates practice group, where</w:t>
      </w:r>
      <w:r>
        <w:rPr>
          <w:color w:val="6E6158"/>
          <w:spacing w:val="40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specializes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trust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estate</w:t>
      </w:r>
      <w:r>
        <w:rPr>
          <w:color w:val="6E6158"/>
          <w:spacing w:val="22"/>
        </w:rPr>
        <w:t> </w:t>
      </w:r>
      <w:r>
        <w:rPr>
          <w:color w:val="6E6158"/>
        </w:rPr>
        <w:t>litigation.</w:t>
      </w:r>
      <w:r>
        <w:rPr>
          <w:color w:val="6E6158"/>
          <w:spacing w:val="22"/>
        </w:rPr>
        <w:t> </w:t>
      </w:r>
      <w:r>
        <w:rPr>
          <w:color w:val="6E6158"/>
        </w:rPr>
        <w:t>From</w:t>
      </w:r>
      <w:r>
        <w:rPr>
          <w:color w:val="6E6158"/>
          <w:spacing w:val="22"/>
        </w:rPr>
        <w:t> </w:t>
      </w:r>
      <w:r>
        <w:rPr>
          <w:color w:val="6E6158"/>
        </w:rPr>
        <w:t>investigation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mediation</w:t>
      </w:r>
      <w:r>
        <w:rPr>
          <w:color w:val="6E6158"/>
          <w:spacing w:val="22"/>
        </w:rPr>
        <w:t> </w:t>
      </w:r>
      <w:r>
        <w:rPr>
          <w:color w:val="6E6158"/>
        </w:rPr>
        <w:t>or</w:t>
      </w:r>
      <w:r>
        <w:rPr>
          <w:color w:val="6E6158"/>
          <w:spacing w:val="22"/>
        </w:rPr>
        <w:t> </w:t>
      </w:r>
      <w:r>
        <w:rPr>
          <w:color w:val="6E6158"/>
        </w:rPr>
        <w:t>trial,</w:t>
      </w:r>
      <w:r>
        <w:rPr>
          <w:color w:val="6E6158"/>
          <w:spacing w:val="22"/>
        </w:rPr>
        <w:t> </w:t>
      </w:r>
      <w:r>
        <w:rPr>
          <w:color w:val="6E6158"/>
        </w:rPr>
        <w:t>Lisa</w:t>
      </w:r>
      <w:r>
        <w:rPr>
          <w:color w:val="6E6158"/>
          <w:spacing w:val="22"/>
        </w:rPr>
        <w:t> </w:t>
      </w:r>
      <w:r>
        <w:rPr>
          <w:color w:val="6E6158"/>
        </w:rPr>
        <w:t>guides</w:t>
      </w:r>
    </w:p>
    <w:p>
      <w:pPr>
        <w:pStyle w:val="BodyText"/>
        <w:spacing w:line="292" w:lineRule="auto"/>
        <w:ind w:right="59"/>
      </w:pPr>
      <w:r>
        <w:rPr>
          <w:color w:val="6E6158"/>
        </w:rPr>
        <w:t>beneficiaries, trustees, and professional fiduciaries through every phase of the trust and </w:t>
      </w:r>
      <w:r>
        <w:rPr>
          <w:color w:val="6E6158"/>
        </w:rPr>
        <w:t>probate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27"/>
        </w:rPr>
        <w:t> </w:t>
      </w:r>
      <w:r>
        <w:rPr>
          <w:color w:val="6E6158"/>
        </w:rPr>
        <w:t>process.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addition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T&amp;E</w:t>
      </w:r>
      <w:r>
        <w:rPr>
          <w:color w:val="6E6158"/>
          <w:spacing w:val="27"/>
        </w:rPr>
        <w:t> </w:t>
      </w:r>
      <w:r>
        <w:rPr>
          <w:color w:val="6E6158"/>
        </w:rPr>
        <w:t>work,</w:t>
      </w:r>
      <w:r>
        <w:rPr>
          <w:color w:val="6E6158"/>
          <w:spacing w:val="27"/>
        </w:rPr>
        <w:t> </w:t>
      </w:r>
      <w:r>
        <w:rPr>
          <w:color w:val="6E6158"/>
        </w:rPr>
        <w:t>Lisa’s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includes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litigation</w:t>
      </w:r>
    </w:p>
    <w:p>
      <w:pPr>
        <w:pStyle w:val="BodyText"/>
      </w:pPr>
      <w:r>
        <w:rPr>
          <w:color w:val="6E6158"/>
        </w:rPr>
        <w:t>and,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particular,</w:t>
      </w:r>
      <w:r>
        <w:rPr>
          <w:color w:val="6E6158"/>
          <w:spacing w:val="13"/>
        </w:rPr>
        <w:t> </w:t>
      </w:r>
      <w:r>
        <w:rPr>
          <w:color w:val="6E6158"/>
        </w:rPr>
        <w:t>residential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landlord-tenant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resolution.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right="554"/>
      </w:pPr>
      <w:r>
        <w:rPr>
          <w:color w:val="6E6158"/>
        </w:rPr>
        <w:t>Lisa has over 10 years of experience in the legal industry. Prior to joining Fennemore, she was a</w:t>
      </w:r>
      <w:r>
        <w:rPr>
          <w:color w:val="6E6158"/>
          <w:spacing w:val="40"/>
        </w:rPr>
        <w:t> </w:t>
      </w:r>
      <w:r>
        <w:rPr>
          <w:color w:val="6E6158"/>
        </w:rPr>
        <w:t>litigation associate at Mullen &amp; Henzell L.L.P., where she defended depositions, argued motions</w:t>
      </w:r>
      <w:r>
        <w:rPr>
          <w:color w:val="6E6158"/>
          <w:spacing w:val="40"/>
        </w:rPr>
        <w:t> </w:t>
      </w:r>
      <w:r>
        <w:rPr>
          <w:color w:val="6E6158"/>
        </w:rPr>
        <w:t>and petitions, and represented her clients at mediations and bench trials across Ventura, Santa</w:t>
      </w:r>
      <w:r>
        <w:rPr>
          <w:color w:val="6E6158"/>
          <w:spacing w:val="40"/>
        </w:rPr>
        <w:t> </w:t>
      </w:r>
      <w:r>
        <w:rPr>
          <w:color w:val="6E6158"/>
        </w:rPr>
        <w:t>Barbara, and Los Angeles Counties. She also litigated plaintiff-side consumer and </w:t>
      </w:r>
      <w:r>
        <w:rPr>
          <w:color w:val="6E6158"/>
        </w:rPr>
        <w:t>environmental</w:t>
      </w:r>
      <w:r>
        <w:rPr>
          <w:color w:val="6E6158"/>
          <w:spacing w:val="40"/>
        </w:rPr>
        <w:t> </w:t>
      </w:r>
      <w:r>
        <w:rPr>
          <w:color w:val="6E6158"/>
        </w:rPr>
        <w:t>class actions with a Seattle-based firm and served as a judicial law clerk for the Honorable Otis.</w:t>
      </w:r>
      <w:r>
        <w:rPr>
          <w:color w:val="6E6158"/>
          <w:spacing w:val="40"/>
        </w:rPr>
        <w:t> </w:t>
      </w:r>
      <w:r>
        <w:rPr>
          <w:color w:val="6E6158"/>
        </w:rPr>
        <w:t>Wright II of the United States District Court, Central District of California.</w:t>
      </w:r>
    </w:p>
    <w:p>
      <w:pPr>
        <w:pStyle w:val="BodyText"/>
        <w:spacing w:line="302" w:lineRule="auto" w:before="193"/>
      </w:pPr>
      <w:r>
        <w:rPr>
          <w:color w:val="6E6158"/>
        </w:rPr>
        <w:t>Lisa earned her law degree from the University of California, Irvine School of Law. There, she was</w:t>
      </w:r>
      <w:r>
        <w:rPr>
          <w:color w:val="6E6158"/>
          <w:spacing w:val="40"/>
        </w:rPr>
        <w:t> </w:t>
      </w:r>
      <w:r>
        <w:rPr>
          <w:color w:val="6E6158"/>
        </w:rPr>
        <w:t>awarded</w:t>
      </w:r>
      <w:r>
        <w:rPr>
          <w:color w:val="6E6158"/>
          <w:spacing w:val="27"/>
        </w:rPr>
        <w:t> </w:t>
      </w:r>
      <w:r>
        <w:rPr>
          <w:color w:val="6E6158"/>
        </w:rPr>
        <w:t>Best</w:t>
      </w:r>
      <w:r>
        <w:rPr>
          <w:color w:val="6E6158"/>
          <w:spacing w:val="27"/>
        </w:rPr>
        <w:t> </w:t>
      </w:r>
      <w:r>
        <w:rPr>
          <w:color w:val="6E6158"/>
        </w:rPr>
        <w:t>Advocate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UC</w:t>
      </w:r>
      <w:r>
        <w:rPr>
          <w:color w:val="6E6158"/>
          <w:spacing w:val="27"/>
        </w:rPr>
        <w:t> </w:t>
      </w:r>
      <w:r>
        <w:rPr>
          <w:color w:val="6E6158"/>
        </w:rPr>
        <w:t>Irvine</w:t>
      </w:r>
      <w:r>
        <w:rPr>
          <w:color w:val="6E6158"/>
          <w:spacing w:val="27"/>
        </w:rPr>
        <w:t> </w:t>
      </w:r>
      <w:r>
        <w:rPr>
          <w:color w:val="6E6158"/>
        </w:rPr>
        <w:t>School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Moot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Competition,</w:t>
      </w:r>
      <w:r>
        <w:rPr>
          <w:color w:val="6E6158"/>
          <w:spacing w:val="27"/>
        </w:rPr>
        <w:t> </w:t>
      </w:r>
      <w:r>
        <w:rPr>
          <w:color w:val="6E6158"/>
        </w:rPr>
        <w:t>served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</w:p>
    <w:p>
      <w:pPr>
        <w:pStyle w:val="BodyText"/>
        <w:spacing w:line="295" w:lineRule="auto"/>
        <w:ind w:right="634"/>
      </w:pPr>
      <w:r>
        <w:rPr>
          <w:color w:val="6E6158"/>
        </w:rPr>
        <w:t>President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Student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Association,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graduated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Pro</w:t>
      </w:r>
      <w:r>
        <w:rPr>
          <w:color w:val="6E6158"/>
          <w:spacing w:val="28"/>
        </w:rPr>
        <w:t> </w:t>
      </w:r>
      <w:r>
        <w:rPr>
          <w:color w:val="6E6158"/>
        </w:rPr>
        <w:t>Bono</w:t>
      </w:r>
      <w:r>
        <w:rPr>
          <w:color w:val="6E6158"/>
          <w:spacing w:val="28"/>
        </w:rPr>
        <w:t> </w:t>
      </w:r>
      <w:r>
        <w:rPr>
          <w:color w:val="6E6158"/>
        </w:rPr>
        <w:t>High</w:t>
      </w:r>
      <w:r>
        <w:rPr>
          <w:color w:val="6E6158"/>
          <w:spacing w:val="28"/>
        </w:rPr>
        <w:t> </w:t>
      </w:r>
      <w:r>
        <w:rPr>
          <w:color w:val="6E6158"/>
        </w:rPr>
        <w:t>Honors</w:t>
      </w:r>
      <w:r>
        <w:rPr>
          <w:color w:val="6E6158"/>
          <w:spacing w:val="28"/>
        </w:rPr>
        <w:t> </w:t>
      </w:r>
      <w:r>
        <w:rPr>
          <w:color w:val="6E6158"/>
        </w:rPr>
        <w:t>in recognition of the over 200 hours of pro bono service she provided during law school. Lisa also</w:t>
      </w:r>
      <w:r>
        <w:rPr>
          <w:color w:val="6E6158"/>
          <w:spacing w:val="40"/>
        </w:rPr>
        <w:t> </w:t>
      </w:r>
      <w:r>
        <w:rPr>
          <w:color w:val="6E6158"/>
        </w:rPr>
        <w:t>served as a summer law clerk for the American Civil Liberties Union, first with its Colorado affiliate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then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Reproductive</w:t>
      </w:r>
      <w:r>
        <w:rPr>
          <w:color w:val="6E6158"/>
          <w:spacing w:val="29"/>
        </w:rPr>
        <w:t> </w:t>
      </w:r>
      <w:r>
        <w:rPr>
          <w:color w:val="6E6158"/>
        </w:rPr>
        <w:t>Freedom</w:t>
      </w:r>
      <w:r>
        <w:rPr>
          <w:color w:val="6E6158"/>
          <w:spacing w:val="29"/>
        </w:rPr>
        <w:t> </w:t>
      </w:r>
      <w:r>
        <w:rPr>
          <w:color w:val="6E6158"/>
        </w:rPr>
        <w:t>Project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ACLU</w:t>
      </w:r>
      <w:r>
        <w:rPr>
          <w:color w:val="6E6158"/>
          <w:spacing w:val="29"/>
        </w:rPr>
        <w:t> </w:t>
      </w:r>
      <w:r>
        <w:rPr>
          <w:color w:val="6E6158"/>
        </w:rPr>
        <w:t>National</w:t>
      </w:r>
      <w:r>
        <w:rPr>
          <w:color w:val="6E6158"/>
          <w:spacing w:val="29"/>
        </w:rPr>
        <w:t> </w:t>
      </w:r>
      <w:r>
        <w:rPr>
          <w:color w:val="6E6158"/>
        </w:rPr>
        <w:t>headquarters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New</w:t>
      </w:r>
    </w:p>
    <w:p>
      <w:pPr>
        <w:pStyle w:val="BodyText"/>
        <w:spacing w:line="292" w:lineRule="auto"/>
        <w:ind w:right="634"/>
      </w:pPr>
      <w:r>
        <w:rPr>
          <w:color w:val="6E6158"/>
        </w:rPr>
        <w:t>York City. She remains an active member of her alma mater’s alumni association and is the current litigation Chair for the Santa Barbara County Bar Association.</w:t>
      </w:r>
    </w:p>
    <w:p>
      <w:pPr>
        <w:pStyle w:val="BodyText"/>
        <w:spacing w:line="292" w:lineRule="auto" w:before="197"/>
        <w:ind w:right="753"/>
      </w:pPr>
      <w:r>
        <w:rPr>
          <w:color w:val="6E6158"/>
        </w:rPr>
        <w:t>During her free time, Lisa enjoys cooking and baking, exploring Santa Barbara’s coastline,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spending time with her husband and two young children. As a former figure skater, she also</w:t>
      </w:r>
      <w:r>
        <w:rPr>
          <w:color w:val="6E6158"/>
          <w:spacing w:val="40"/>
        </w:rPr>
        <w:t> </w:t>
      </w:r>
      <w:r>
        <w:rPr>
          <w:color w:val="6E6158"/>
        </w:rPr>
        <w:t>laces up her skates whenever she can.</w:t>
      </w:r>
    </w:p>
    <w:p>
      <w:pPr>
        <w:pStyle w:val="BodyText"/>
        <w:spacing w:line="422" w:lineRule="auto" w:before="2"/>
        <w:ind w:left="356" w:right="7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65686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2202pt;width:1.65pt;height:1.65pt;mso-position-horizontal-relative:page;mso-position-vertical-relative:paragraph;z-index:15729152" id="docshape7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324052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5968pt;width:1.65pt;height:1.65pt;mso-position-horizontal-relative:page;mso-position-vertical-relative:paragraph;z-index:15729664" id="docshape8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582418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859711pt;width:1.65pt;height:1.65pt;mso-position-horizontal-relative:page;mso-position-vertical-relative:paragraph;z-index:15730176" id="docshape9" coordorigin="1675,917" coordsize="33,33" path="m1696,950l1687,950,1683,948,1676,942,1675,938,1675,929,1676,925,1683,919,1687,917,1696,917,1699,919,1706,925,1707,929,1707,933,1707,938,1706,942,1699,948,1696,9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Real Estate</w:t>
      </w: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157559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296pt;width:1.65pt;height:1.65pt;mso-position-horizontal-relative:page;mso-position-vertical-relative:paragraph;z-index:15730688" id="docshape1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Irvine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Pro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Bono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High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Honors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173854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9322pt;width:1.65pt;height:1.65pt;mso-position-horizontal-relative:page;mso-position-vertical-relative:paragraph;z-index:15731200" id="docshape11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M.A.,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Chicago,</w:t>
      </w:r>
      <w:r>
        <w:rPr>
          <w:color w:val="6E6158"/>
          <w:spacing w:val="7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after="0"/>
        <w:jc w:val="left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9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9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56" w:right="75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2224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416299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51pt;width:1.65pt;height:1.65pt;mso-position-horizontal-relative:page;mso-position-vertical-relative:paragraph;z-index:15732736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679832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0132pt;width:1.65pt;height:1.65pt;mso-position-horizontal-relative:page;mso-position-vertical-relative:paragraph;z-index:15733248" id="docshape15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Real Estate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157732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855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Litigation</w:t>
      </w:r>
      <w:r>
        <w:rPr>
          <w:color w:val="6E6158"/>
          <w:spacing w:val="9"/>
        </w:rPr>
        <w:t> </w:t>
      </w:r>
      <w:r>
        <w:rPr>
          <w:color w:val="6E6158"/>
        </w:rPr>
        <w:t>Chair,</w:t>
      </w:r>
      <w:r>
        <w:rPr>
          <w:color w:val="6E6158"/>
          <w:spacing w:val="10"/>
        </w:rPr>
        <w:t> </w:t>
      </w:r>
      <w:r>
        <w:rPr>
          <w:color w:val="6E6158"/>
        </w:rPr>
        <w:t>Santa</w:t>
      </w:r>
      <w:r>
        <w:rPr>
          <w:color w:val="6E6158"/>
          <w:spacing w:val="9"/>
        </w:rPr>
        <w:t> </w:t>
      </w:r>
      <w:r>
        <w:rPr>
          <w:color w:val="6E6158"/>
        </w:rPr>
        <w:t>Barbara</w:t>
      </w:r>
      <w:r>
        <w:rPr>
          <w:color w:val="6E6158"/>
          <w:spacing w:val="10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175461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901pt;width:1.65pt;height:1.65pt;mso-position-horizontal-relative:page;mso-position-vertical-relative:paragraph;z-index:15734272" id="docshape17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5"/>
        </w:rPr>
        <w:t> </w:t>
      </w:r>
      <w:r>
        <w:rPr>
          <w:color w:val="6E6158"/>
        </w:rPr>
        <w:t>Irvine</w:t>
      </w:r>
      <w:r>
        <w:rPr>
          <w:color w:val="6E6158"/>
          <w:spacing w:val="14"/>
        </w:rPr>
        <w:t> </w:t>
      </w:r>
      <w:r>
        <w:rPr>
          <w:color w:val="6E6158"/>
        </w:rPr>
        <w:t>School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Alumni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Present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158137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787pt;width:1.65pt;height:1.65pt;mso-position-horizontal-relative:page;mso-position-vertical-relative:paragraph;z-index:15734784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ta-barbara/" TargetMode="External"/><Relationship Id="rId10" Type="http://schemas.openxmlformats.org/officeDocument/2006/relationships/hyperlink" Target="mailto:lpeta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2025-02-19T19:27:36Z</dcterms:created>
  <dcterms:modified xsi:type="dcterms:W3CDTF">2025-02-19T19:27:36Z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ConvertAPI</vt:lpwstr>
  </property>
</Properties>
</file>