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2888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60267" y="1369338"/>
                            <a:ext cx="19792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9295" h="320675">
                                <a:moveTo>
                                  <a:pt x="1979079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979079" y="320382"/>
                                </a:lnTo>
                                <a:lnTo>
                                  <a:pt x="1979079" y="315214"/>
                                </a:lnTo>
                                <a:close/>
                              </a:path>
                              <a:path w="1979295" h="320675">
                                <a:moveTo>
                                  <a:pt x="19790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979079" y="5168"/>
                                </a:lnTo>
                                <a:lnTo>
                                  <a:pt x="1979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559551" y="763308"/>
                            <a:ext cx="1993264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MARK D.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EPSTEIN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31095" y="1859626"/>
                            <a:ext cx="45021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13000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12427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510.834.1928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78355" y="2226505"/>
                            <a:ext cx="15557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mepstein@fennemorelaw.com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27.45pt;mso-position-horizontal-relative:page;mso-position-vertical-relative:page;z-index:15728640" id="docshapegroup1" coordorigin="1341,560" coordsize="9554,4549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126" type="#_x0000_t75" id="docshape3" stroked="false">
                  <v:imagedata r:id="rId7" o:title=""/>
                </v:shape>
                <v:rect style="position:absolute;left:6117;top:983;width:4777;height:4126" id="docshape4" filled="true" fillcolor="#262424" stroked="false">
                  <v:fill type="solid"/>
                </v:rect>
                <v:shape style="position:absolute;left:6947;top:2716;width:3117;height:505" id="docshape5" coordorigin="6948,2716" coordsize="3117,505" path="m10065,3213l6948,3213,6948,3221,10065,3221,10065,3213xm10065,2716l6948,2716,6948,2725,10065,2725,10065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946;top:1762;width:3139;height:1300" type="#_x0000_t202" id="docshape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MARK D.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EPSTEIN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61;top:3488;width:709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030;top:3740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</w:p>
                    </w:txbxContent>
                  </v:textbox>
                  <w10:wrap type="none"/>
                </v:shape>
                <v:shape style="position:absolute;left:8762;top:3740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510.834.1928</w:t>
                        </w:r>
                      </w:p>
                    </w:txbxContent>
                  </v:textbox>
                  <w10:wrap type="none"/>
                </v:shape>
                <v:shape style="position:absolute;left:7291;top:4066;width:2450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mepstein@fennemorelaw.com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241"/>
        <w:ind w:left="0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MARK</w:t>
      </w:r>
      <w:r>
        <w:rPr>
          <w:color w:val="FF8100"/>
          <w:spacing w:val="5"/>
        </w:rPr>
        <w:t> </w:t>
      </w:r>
      <w:r>
        <w:rPr>
          <w:color w:val="FF8100"/>
        </w:rPr>
        <w:t>D.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EPSTEIN</w:t>
      </w:r>
    </w:p>
    <w:p>
      <w:pPr>
        <w:pStyle w:val="BodyText"/>
        <w:spacing w:line="295" w:lineRule="auto" w:before="147"/>
        <w:ind w:left="104" w:right="322"/>
      </w:pPr>
      <w:r>
        <w:rPr>
          <w:color w:val="6E6158"/>
        </w:rPr>
        <w:t>Mark has been practicing law for over 31 years, and has more than 25 years of experience</w:t>
      </w:r>
      <w:r>
        <w:rPr>
          <w:color w:val="6E6158"/>
          <w:spacing w:val="40"/>
        </w:rPr>
        <w:t> </w:t>
      </w:r>
      <w:r>
        <w:rPr>
          <w:color w:val="6E6158"/>
        </w:rPr>
        <w:t>specializing in real estate, business, lending and title insurance litigation. He has a solid track</w:t>
      </w:r>
      <w:r>
        <w:rPr>
          <w:color w:val="6E6158"/>
          <w:spacing w:val="40"/>
        </w:rPr>
        <w:t> </w:t>
      </w:r>
      <w:r>
        <w:rPr>
          <w:color w:val="6E6158"/>
        </w:rPr>
        <w:t>record of successful client representations in resolving disputes that entail real property, title,</w:t>
      </w:r>
      <w:r>
        <w:rPr>
          <w:color w:val="6E6158"/>
          <w:spacing w:val="40"/>
        </w:rPr>
        <w:t> </w:t>
      </w:r>
      <w:r>
        <w:rPr>
          <w:color w:val="6E6158"/>
        </w:rPr>
        <w:t>escrow,</w:t>
      </w:r>
      <w:r>
        <w:rPr>
          <w:color w:val="6E6158"/>
          <w:spacing w:val="40"/>
        </w:rPr>
        <w:t> </w:t>
      </w:r>
      <w:r>
        <w:rPr>
          <w:color w:val="6E6158"/>
        </w:rPr>
        <w:t>commercial</w:t>
      </w:r>
      <w:r>
        <w:rPr>
          <w:color w:val="6E6158"/>
          <w:spacing w:val="40"/>
        </w:rPr>
        <w:t> </w:t>
      </w:r>
      <w:r>
        <w:rPr>
          <w:color w:val="6E6158"/>
        </w:rPr>
        <w:t>landlord-tenant,</w:t>
      </w:r>
      <w:r>
        <w:rPr>
          <w:color w:val="6E6158"/>
          <w:spacing w:val="40"/>
        </w:rPr>
        <w:t> </w:t>
      </w:r>
      <w:r>
        <w:rPr>
          <w:color w:val="6E6158"/>
        </w:rPr>
        <w:t>mortgage</w:t>
      </w:r>
      <w:r>
        <w:rPr>
          <w:color w:val="6E6158"/>
          <w:spacing w:val="40"/>
        </w:rPr>
        <w:t> </w:t>
      </w:r>
      <w:r>
        <w:rPr>
          <w:color w:val="6E6158"/>
        </w:rPr>
        <w:t>lending,</w:t>
      </w:r>
      <w:r>
        <w:rPr>
          <w:color w:val="6E6158"/>
          <w:spacing w:val="40"/>
        </w:rPr>
        <w:t> </w:t>
      </w:r>
      <w:r>
        <w:rPr>
          <w:color w:val="6E6158"/>
        </w:rPr>
        <w:t>easement,</w:t>
      </w:r>
      <w:r>
        <w:rPr>
          <w:color w:val="6E6158"/>
          <w:spacing w:val="40"/>
        </w:rPr>
        <w:t> </w:t>
      </w:r>
      <w:r>
        <w:rPr>
          <w:color w:val="6E6158"/>
        </w:rPr>
        <w:t>boundary</w:t>
      </w:r>
      <w:r>
        <w:rPr>
          <w:color w:val="6E6158"/>
          <w:spacing w:val="40"/>
        </w:rPr>
        <w:t> </w:t>
      </w:r>
      <w:r>
        <w:rPr>
          <w:color w:val="6E6158"/>
        </w:rPr>
        <w:t>line,</w:t>
      </w:r>
    </w:p>
    <w:p>
      <w:pPr>
        <w:pStyle w:val="BodyText"/>
        <w:spacing w:line="292" w:lineRule="auto" w:before="9"/>
        <w:ind w:left="104" w:right="127"/>
      </w:pPr>
      <w:r>
        <w:rPr>
          <w:color w:val="6E6158"/>
        </w:rPr>
        <w:t>encroachment and lien priority claims. Mark represents property owners, developers, </w:t>
      </w:r>
      <w:r>
        <w:rPr>
          <w:color w:val="6E6158"/>
        </w:rPr>
        <w:t>fractional</w:t>
      </w:r>
      <w:r>
        <w:rPr>
          <w:color w:val="6E6158"/>
          <w:spacing w:val="40"/>
        </w:rPr>
        <w:t> </w:t>
      </w:r>
      <w:r>
        <w:rPr>
          <w:color w:val="6E6158"/>
        </w:rPr>
        <w:t>interest</w:t>
      </w:r>
      <w:r>
        <w:rPr>
          <w:color w:val="6E6158"/>
          <w:spacing w:val="28"/>
        </w:rPr>
        <w:t> </w:t>
      </w:r>
      <w:r>
        <w:rPr>
          <w:color w:val="6E6158"/>
        </w:rPr>
        <w:t>holders,</w:t>
      </w:r>
      <w:r>
        <w:rPr>
          <w:color w:val="6E6158"/>
          <w:spacing w:val="28"/>
        </w:rPr>
        <w:t> </w:t>
      </w:r>
      <w:r>
        <w:rPr>
          <w:color w:val="6E6158"/>
        </w:rPr>
        <w:t>title</w:t>
      </w:r>
      <w:r>
        <w:rPr>
          <w:color w:val="6E6158"/>
          <w:spacing w:val="28"/>
        </w:rPr>
        <w:t> </w:t>
      </w:r>
      <w:r>
        <w:rPr>
          <w:color w:val="6E6158"/>
        </w:rPr>
        <w:t>insurers,</w:t>
      </w:r>
      <w:r>
        <w:rPr>
          <w:color w:val="6E6158"/>
          <w:spacing w:val="28"/>
        </w:rPr>
        <w:t> </w:t>
      </w:r>
      <w:r>
        <w:rPr>
          <w:color w:val="6E6158"/>
        </w:rPr>
        <w:t>banks,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other</w:t>
      </w:r>
      <w:r>
        <w:rPr>
          <w:color w:val="6E6158"/>
          <w:spacing w:val="28"/>
        </w:rPr>
        <w:t> </w:t>
      </w:r>
      <w:r>
        <w:rPr>
          <w:color w:val="6E6158"/>
        </w:rPr>
        <w:t>financial</w:t>
      </w:r>
      <w:r>
        <w:rPr>
          <w:color w:val="6E6158"/>
          <w:spacing w:val="28"/>
        </w:rPr>
        <w:t> </w:t>
      </w:r>
      <w:r>
        <w:rPr>
          <w:color w:val="6E6158"/>
        </w:rPr>
        <w:t>institutions,</w:t>
      </w:r>
      <w:r>
        <w:rPr>
          <w:color w:val="6E6158"/>
          <w:spacing w:val="28"/>
        </w:rPr>
        <w:t> </w:t>
      </w:r>
      <w:r>
        <w:rPr>
          <w:color w:val="6E6158"/>
        </w:rPr>
        <w:t>as</w:t>
      </w:r>
      <w:r>
        <w:rPr>
          <w:color w:val="6E6158"/>
          <w:spacing w:val="28"/>
        </w:rPr>
        <w:t> </w:t>
      </w:r>
      <w:r>
        <w:rPr>
          <w:color w:val="6E6158"/>
        </w:rPr>
        <w:t>well</w:t>
      </w:r>
      <w:r>
        <w:rPr>
          <w:color w:val="6E6158"/>
          <w:spacing w:val="28"/>
        </w:rPr>
        <w:t> </w:t>
      </w:r>
      <w:r>
        <w:rPr>
          <w:color w:val="6E6158"/>
        </w:rPr>
        <w:t>as</w:t>
      </w:r>
      <w:r>
        <w:rPr>
          <w:color w:val="6E6158"/>
          <w:spacing w:val="28"/>
        </w:rPr>
        <w:t> </w:t>
      </w:r>
      <w:r>
        <w:rPr>
          <w:color w:val="6E6158"/>
        </w:rPr>
        <w:t>real</w:t>
      </w:r>
      <w:r>
        <w:rPr>
          <w:color w:val="6E6158"/>
          <w:spacing w:val="28"/>
        </w:rPr>
        <w:t> </w:t>
      </w:r>
      <w:r>
        <w:rPr>
          <w:color w:val="6E6158"/>
        </w:rPr>
        <w:t>estate</w:t>
      </w:r>
    </w:p>
    <w:p>
      <w:pPr>
        <w:pStyle w:val="BodyText"/>
        <w:spacing w:before="2"/>
        <w:ind w:left="104"/>
      </w:pPr>
      <w:r>
        <w:rPr>
          <w:color w:val="6E6158"/>
        </w:rPr>
        <w:t>professionals.</w:t>
      </w:r>
      <w:r>
        <w:rPr>
          <w:color w:val="6E6158"/>
          <w:spacing w:val="13"/>
        </w:rPr>
        <w:t> </w:t>
      </w:r>
      <w:r>
        <w:rPr>
          <w:color w:val="6E6158"/>
        </w:rPr>
        <w:t>He</w:t>
      </w:r>
      <w:r>
        <w:rPr>
          <w:color w:val="6E6158"/>
          <w:spacing w:val="14"/>
        </w:rPr>
        <w:t> </w:t>
      </w:r>
      <w:r>
        <w:rPr>
          <w:color w:val="6E6158"/>
        </w:rPr>
        <w:t>also</w:t>
      </w:r>
      <w:r>
        <w:rPr>
          <w:color w:val="6E6158"/>
          <w:spacing w:val="14"/>
        </w:rPr>
        <w:t> </w:t>
      </w:r>
      <w:r>
        <w:rPr>
          <w:color w:val="6E6158"/>
        </w:rPr>
        <w:t>represents</w:t>
      </w:r>
      <w:r>
        <w:rPr>
          <w:color w:val="6E6158"/>
          <w:spacing w:val="14"/>
        </w:rPr>
        <w:t> </w:t>
      </w:r>
      <w:r>
        <w:rPr>
          <w:color w:val="6E6158"/>
        </w:rPr>
        <w:t>business</w:t>
      </w:r>
      <w:r>
        <w:rPr>
          <w:color w:val="6E6158"/>
          <w:spacing w:val="14"/>
        </w:rPr>
        <w:t> </w:t>
      </w:r>
      <w:r>
        <w:rPr>
          <w:color w:val="6E6158"/>
        </w:rPr>
        <w:t>owners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contract</w:t>
      </w:r>
      <w:r>
        <w:rPr>
          <w:color w:val="6E6158"/>
          <w:spacing w:val="14"/>
        </w:rPr>
        <w:t> </w:t>
      </w:r>
      <w:r>
        <w:rPr>
          <w:color w:val="6E6158"/>
        </w:rPr>
        <w:t>disputes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commercial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litigation.</w:t>
      </w:r>
    </w:p>
    <w:p>
      <w:pPr>
        <w:pStyle w:val="BodyText"/>
        <w:spacing w:before="14"/>
        <w:ind w:left="0"/>
      </w:pPr>
    </w:p>
    <w:p>
      <w:pPr>
        <w:pStyle w:val="BodyText"/>
        <w:spacing w:line="302" w:lineRule="auto"/>
        <w:ind w:left="104" w:right="322"/>
      </w:pPr>
      <w:r>
        <w:rPr>
          <w:color w:val="6E6158"/>
        </w:rPr>
        <w:t>Mark has been an adjunct professor at the University of California, Berkeley School of Law where</w:t>
      </w:r>
      <w:r>
        <w:rPr>
          <w:color w:val="6E6158"/>
          <w:spacing w:val="40"/>
        </w:rPr>
        <w:t> </w:t>
      </w:r>
      <w:r>
        <w:rPr>
          <w:color w:val="6E6158"/>
        </w:rPr>
        <w:t>he</w:t>
      </w:r>
      <w:r>
        <w:rPr>
          <w:color w:val="6E6158"/>
          <w:spacing w:val="25"/>
        </w:rPr>
        <w:t> </w:t>
      </w:r>
      <w:r>
        <w:rPr>
          <w:color w:val="6E6158"/>
        </w:rPr>
        <w:t>co-taught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course</w:t>
      </w:r>
      <w:r>
        <w:rPr>
          <w:color w:val="6E6158"/>
          <w:spacing w:val="25"/>
        </w:rPr>
        <w:t> </w:t>
      </w:r>
      <w:r>
        <w:rPr>
          <w:color w:val="6E6158"/>
        </w:rPr>
        <w:t>on</w:t>
      </w:r>
      <w:r>
        <w:rPr>
          <w:color w:val="6E6158"/>
          <w:spacing w:val="25"/>
        </w:rPr>
        <w:t> </w:t>
      </w:r>
      <w:r>
        <w:rPr>
          <w:color w:val="6E6158"/>
        </w:rPr>
        <w:t>real</w:t>
      </w:r>
      <w:r>
        <w:rPr>
          <w:color w:val="6E6158"/>
          <w:spacing w:val="25"/>
        </w:rPr>
        <w:t> </w:t>
      </w:r>
      <w:r>
        <w:rPr>
          <w:color w:val="6E6158"/>
        </w:rPr>
        <w:t>estate</w:t>
      </w:r>
      <w:r>
        <w:rPr>
          <w:color w:val="6E6158"/>
          <w:spacing w:val="25"/>
        </w:rPr>
        <w:t> </w:t>
      </w:r>
      <w:r>
        <w:rPr>
          <w:color w:val="6E6158"/>
        </w:rPr>
        <w:t>transactions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litigation</w:t>
      </w:r>
      <w:r>
        <w:rPr>
          <w:color w:val="6E6158"/>
          <w:spacing w:val="25"/>
        </w:rPr>
        <w:t> </w:t>
      </w:r>
      <w:r>
        <w:rPr>
          <w:color w:val="6E6158"/>
        </w:rPr>
        <w:t>during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fall</w:t>
      </w:r>
      <w:r>
        <w:rPr>
          <w:color w:val="6E6158"/>
          <w:spacing w:val="25"/>
        </w:rPr>
        <w:t> </w:t>
      </w:r>
      <w:r>
        <w:rPr>
          <w:color w:val="6E6158"/>
        </w:rPr>
        <w:t>2015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2016</w:t>
      </w:r>
    </w:p>
    <w:p>
      <w:pPr>
        <w:pStyle w:val="BodyText"/>
        <w:spacing w:line="224" w:lineRule="exact"/>
        <w:ind w:left="104"/>
      </w:pPr>
      <w:r>
        <w:rPr>
          <w:color w:val="6E6158"/>
          <w:spacing w:val="-2"/>
        </w:rPr>
        <w:t>semesters.</w:t>
      </w:r>
    </w:p>
    <w:p>
      <w:pPr>
        <w:pStyle w:val="BodyText"/>
        <w:spacing w:line="422" w:lineRule="auto" w:before="52"/>
        <w:ind w:right="70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97567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682478pt;width:1.65pt;height:1.65pt;mso-position-horizontal-relative:page;mso-position-vertical-relative:paragraph;z-index:15729152" id="docshape11" coordorigin="1675,154" coordsize="33,33" path="m1696,186l1687,186,1683,185,1676,178,1675,174,1675,165,1676,162,1683,155,1687,154,1696,154,1699,155,1706,162,1707,165,1707,170,1707,174,1706,178,1699,185,1696,1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355933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26245pt;width:1.65pt;height:1.65pt;mso-position-horizontal-relative:page;mso-position-vertical-relative:paragraph;z-index:15729664" id="docshape12" coordorigin="1675,561" coordsize="33,33" path="m1696,593l1687,593,1683,591,1676,585,1675,581,1675,572,1676,568,1683,562,1687,561,1696,561,1699,562,1706,568,1707,572,1707,577,1707,581,1706,585,1699,591,1696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614298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8.369987pt;width:1.65pt;height:1.65pt;mso-position-horizontal-relative:page;mso-position-vertical-relative:paragraph;z-index:15730176" id="docshape13" coordorigin="1675,967" coordsize="33,33" path="m1696,1000l1687,1000,1683,998,1676,992,1675,988,1675,979,1676,975,1683,969,1687,967,1696,967,1699,969,1706,975,1707,979,1707,984,1707,988,1706,992,1699,998,1696,10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Business &amp; </w:t>
      </w:r>
      <w:r>
        <w:rPr>
          <w:color w:val="6E6158"/>
        </w:rPr>
        <w:t>Finance Real Estate</w:t>
      </w:r>
    </w:p>
    <w:p>
      <w:pPr>
        <w:pStyle w:val="Heading1"/>
        <w:spacing w:before="160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6"/>
        <w:ind w:right="44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157691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662pt;width:1.65pt;height:1.65pt;mso-position-horizontal-relative:page;mso-position-vertical-relative:paragraph;z-index:15730688" id="docshape14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416056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0365pt;width:1.65pt;height:1.65pt;mso-position-horizontal-relative:page;mso-position-vertical-relative:paragraph;z-index:15731200" id="docshape15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San Francisco School of </w:t>
      </w:r>
      <w:r>
        <w:rPr>
          <w:color w:val="6E6158"/>
        </w:rPr>
        <w:t>Law</w:t>
      </w:r>
      <w:r>
        <w:rPr>
          <w:color w:val="6E6158"/>
        </w:rPr>
        <w:t> B.A., University of California, Davis</w:t>
      </w:r>
    </w:p>
    <w:p>
      <w:pPr>
        <w:pStyle w:val="Heading1"/>
        <w:spacing w:before="16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EXPERIENCE</w:t>
      </w:r>
    </w:p>
    <w:p>
      <w:pPr>
        <w:pStyle w:val="BodyText"/>
        <w:spacing w:line="422" w:lineRule="auto" w:before="217"/>
        <w:ind w:right="70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197396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5.543042pt;width:1.65pt;height:1.65pt;mso-position-horizontal-relative:page;mso-position-vertical-relative:paragraph;z-index:15731712" id="docshape16" coordorigin="1675,311" coordsize="33,33" path="m1696,343l1687,343,1683,342,1676,335,1675,332,1675,323,1676,319,1683,312,1687,311,1696,311,1699,312,1706,319,1707,323,1707,327,1707,332,1706,335,1699,342,1696,3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455762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886784pt;width:1.65pt;height:1.65pt;mso-position-horizontal-relative:page;mso-position-vertical-relative:paragraph;z-index:15732224" id="docshape17" coordorigin="1675,718" coordsize="33,33" path="m1696,750l1687,750,1683,749,1676,742,1675,739,1675,730,1676,726,1683,719,1687,718,1696,718,1699,719,1706,726,1707,730,1707,734,1707,739,1706,742,1699,749,1696,7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719295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6.637424pt;width:1.65pt;height:1.65pt;mso-position-horizontal-relative:page;mso-position-vertical-relative:paragraph;z-index:15732736" id="docshape18" coordorigin="1675,1133" coordsize="33,33" path="m1696,1165l1687,1165,1683,1164,1676,1157,1675,1154,1675,1145,1676,1141,1683,1134,1687,1133,1696,1133,1699,1134,1706,1141,1707,1145,1707,1149,1707,1154,1706,1157,1699,1164,1696,11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977660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6.981171pt;width:1.65pt;height:1.65pt;mso-position-horizontal-relative:page;mso-position-vertical-relative:paragraph;z-index:15733248" id="docshape19" coordorigin="1675,1540" coordsize="33,33" path="m1696,1572l1687,1572,1683,1571,1676,1564,1675,1560,1675,1551,1676,1548,1683,1541,1687,1540,1696,1540,1699,1541,1706,1548,1707,1551,1707,1556,1707,1560,1706,1564,1699,1571,1696,15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1236026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7.324913pt;width:1.65pt;height:1.65pt;mso-position-horizontal-relative:page;mso-position-vertical-relative:paragraph;z-index:15733760" id="docshape20" coordorigin="1675,1946" coordsize="33,33" path="m1696,1979l1687,1979,1683,1977,1676,1971,1675,1967,1675,1958,1676,1954,1683,1948,1687,1946,1696,1946,1699,1948,1706,1954,1707,1958,1707,1963,1707,1967,1706,1971,1699,1977,1696,19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 </w:t>
      </w:r>
      <w:r>
        <w:rPr>
          <w:color w:val="6E6158"/>
        </w:rPr>
        <w:t>Litigation Title Insurance Business Litigation Business &amp; Finance Real Estate</w:t>
      </w:r>
    </w:p>
    <w:p>
      <w:pPr>
        <w:pStyle w:val="Heading1"/>
        <w:spacing w:before="154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4784" id="docshape21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AV®</w:t>
      </w:r>
      <w:r>
        <w:rPr>
          <w:color w:val="6E6158"/>
          <w:spacing w:val="10"/>
        </w:rPr>
        <w:t> </w:t>
      </w:r>
      <w:r>
        <w:rPr>
          <w:color w:val="6E6158"/>
        </w:rPr>
        <w:t>Preeminent™</w:t>
      </w:r>
      <w:r>
        <w:rPr>
          <w:color w:val="6E6158"/>
          <w:spacing w:val="10"/>
        </w:rPr>
        <w:t> </w:t>
      </w:r>
      <w:r>
        <w:rPr>
          <w:color w:val="6E6158"/>
        </w:rPr>
        <w:t>Peer</w:t>
      </w:r>
      <w:r>
        <w:rPr>
          <w:color w:val="6E6158"/>
          <w:spacing w:val="11"/>
        </w:rPr>
        <w:t> </w:t>
      </w:r>
      <w:r>
        <w:rPr>
          <w:color w:val="6E6158"/>
        </w:rPr>
        <w:t>Review</w:t>
      </w:r>
      <w:r>
        <w:rPr>
          <w:color w:val="6E6158"/>
          <w:spacing w:val="10"/>
        </w:rPr>
        <w:t> </w:t>
      </w:r>
      <w:r>
        <w:rPr>
          <w:color w:val="6E6158"/>
        </w:rPr>
        <w:t>Rated</w:t>
      </w:r>
      <w:r>
        <w:rPr>
          <w:color w:val="6E6158"/>
          <w:spacing w:val="10"/>
        </w:rPr>
        <w:t> </w:t>
      </w:r>
      <w:r>
        <w:rPr>
          <w:color w:val="6E6158"/>
        </w:rPr>
        <w:t>by</w:t>
      </w:r>
      <w:r>
        <w:rPr>
          <w:color w:val="6E6158"/>
          <w:spacing w:val="11"/>
        </w:rPr>
        <w:t> </w:t>
      </w:r>
      <w:r>
        <w:rPr>
          <w:color w:val="6E6158"/>
        </w:rPr>
        <w:t>Martindale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Hubbell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7" w:lineRule="auto"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338831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6.679655pt;width:1.65pt;height:1.65pt;mso-position-horizontal-relative:page;mso-position-vertical-relative:paragraph;z-index:15735296" id="docshape22" coordorigin="1675,534" coordsize="33,33" path="m1696,566l1687,566,1683,565,1676,558,1675,554,1675,545,1676,542,1683,535,1687,534,1696,534,1699,535,1706,542,1707,545,1707,550,1707,554,1706,558,1699,565,1696,5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“What You Need to Know About California Mechanic’s Lien Foreclosure and Stop Notice Litigation: Strategies for Success”, an online presentation for on behalf of the </w:t>
      </w:r>
      <w:r>
        <w:rPr>
          <w:color w:val="6E6158"/>
        </w:rPr>
        <w:t>Alameda</w:t>
      </w:r>
      <w:r>
        <w:rPr>
          <w:color w:val="6E6158"/>
          <w:spacing w:val="40"/>
        </w:rPr>
        <w:t> </w:t>
      </w:r>
      <w:r>
        <w:rPr>
          <w:color w:val="6E6158"/>
        </w:rPr>
        <w:t>County Bar Association Real Estate Section, September 4, 2024</w:t>
      </w:r>
    </w:p>
    <w:p>
      <w:pPr>
        <w:pStyle w:val="BodyText"/>
        <w:spacing w:line="297" w:lineRule="auto" w:before="118"/>
        <w:ind w:right="21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320447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32065pt;width:1.65pt;height:1.65pt;mso-position-horizontal-relative:page;mso-position-vertical-relative:paragraph;z-index:15735808" id="docshape23" coordorigin="1675,505" coordsize="33,33" path="m1696,537l1687,537,1683,536,1676,529,1675,525,1675,516,1676,513,1683,506,1687,505,1696,505,1699,506,1706,513,1707,516,1707,521,1707,525,1706,529,1699,536,1696,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“Navigating Property Disputes: Exploring the Mechanics of Litigating Quiet Title </w:t>
      </w:r>
      <w:r>
        <w:rPr>
          <w:color w:val="6E6158"/>
        </w:rPr>
        <w:t>and Real Estate Partition Cases”, an online presentation for on behalf of the Alameda County Bar Association Real Estate Section, March 6, 2024</w:t>
      </w:r>
    </w:p>
    <w:p>
      <w:pPr>
        <w:pStyle w:val="BodyText"/>
        <w:spacing w:line="292" w:lineRule="auto" w:before="118"/>
        <w:ind w:right="3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320477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34474pt;width:1.65pt;height:1.65pt;mso-position-horizontal-relative:page;mso-position-vertical-relative:paragraph;z-index:15736320" id="docshape24" coordorigin="1675,505" coordsize="33,33" path="m1696,537l1687,537,1683,536,1676,529,1675,525,1675,516,1676,513,1683,506,1687,505,1696,505,1699,506,1706,513,1707,516,1707,521,1707,525,1706,529,1699,536,1696,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“What’s Mine May Be Yours: Involuntary Real Property Transfers”, an online presentation for on behalf of the Alameda County Bar Association Real Estate </w:t>
      </w:r>
      <w:r>
        <w:rPr>
          <w:color w:val="6E6158"/>
        </w:rPr>
        <w:t>Section, November 1, 2023.</w:t>
      </w:r>
    </w:p>
    <w:p>
      <w:pPr>
        <w:pStyle w:val="BodyText"/>
        <w:spacing w:line="292" w:lineRule="auto" w:before="132"/>
        <w:ind w:right="3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236372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11998pt;width:1.65pt;height:1.65pt;mso-position-horizontal-relative:page;mso-position-vertical-relative:paragraph;z-index:15736832" id="docshape25" coordorigin="1675,372" coordsize="33,33" path="m1696,405l1687,405,1683,403,1676,397,1675,393,1675,384,1676,380,1683,374,1687,372,1696,372,1699,374,1706,380,1707,384,1707,389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“Recovering Possession of Abandoned Leased Premises,” Oakland / </w:t>
      </w:r>
      <w:r>
        <w:rPr>
          <w:color w:val="6E6158"/>
        </w:rPr>
        <w:t>Berkeley Association of Realtors, December 9, 2019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236002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2844pt;width:1.65pt;height:1.65pt;mso-position-horizontal-relative:page;mso-position-vertical-relative:paragraph;z-index:15737344" id="docshape26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“The Responsible Salesperson: Guidelines to Reduce Your Liability Risks,” </w:t>
      </w:r>
      <w:r>
        <w:rPr>
          <w:color w:val="6E6158"/>
        </w:rPr>
        <w:t>Colliers International, May 30, 2019</w:t>
      </w:r>
    </w:p>
    <w:p>
      <w:pPr>
        <w:pStyle w:val="BodyText"/>
        <w:spacing w:before="113" w:after="7"/>
      </w:pPr>
      <w:r>
        <w:rPr>
          <w:color w:val="6E6158"/>
        </w:rPr>
        <w:t>Author,</w:t>
      </w:r>
      <w:r>
        <w:rPr>
          <w:color w:val="6E6158"/>
          <w:spacing w:val="9"/>
        </w:rPr>
        <w:t> </w:t>
      </w:r>
      <w:r>
        <w:rPr>
          <w:color w:val="6E6158"/>
        </w:rPr>
        <w:t>“Filling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Holes</w:t>
      </w:r>
      <w:r>
        <w:rPr>
          <w:color w:val="6E6158"/>
          <w:spacing w:val="9"/>
        </w:rPr>
        <w:t> </w:t>
      </w:r>
      <w:r>
        <w:rPr>
          <w:color w:val="6E6158"/>
        </w:rPr>
        <w:t>in</w:t>
      </w:r>
      <w:r>
        <w:rPr>
          <w:color w:val="6E6158"/>
          <w:spacing w:val="9"/>
        </w:rPr>
        <w:t> </w:t>
      </w: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“Swiss</w:t>
      </w:r>
      <w:r>
        <w:rPr>
          <w:color w:val="6E6158"/>
          <w:spacing w:val="10"/>
        </w:rPr>
        <w:t> </w:t>
      </w:r>
      <w:r>
        <w:rPr>
          <w:color w:val="6E6158"/>
        </w:rPr>
        <w:t>Cheese</w:t>
      </w:r>
      <w:r>
        <w:rPr>
          <w:color w:val="6E6158"/>
          <w:spacing w:val="9"/>
        </w:rPr>
        <w:t> </w:t>
      </w:r>
      <w:r>
        <w:rPr>
          <w:color w:val="6E6158"/>
        </w:rPr>
        <w:t>Parcel”</w:t>
      </w:r>
      <w:r>
        <w:rPr>
          <w:color w:val="6E6158"/>
          <w:spacing w:val="9"/>
        </w:rPr>
        <w:t> </w:t>
      </w:r>
      <w:r>
        <w:rPr>
          <w:color w:val="6E6158"/>
        </w:rPr>
        <w:t>Correcting</w:t>
      </w:r>
      <w:r>
        <w:rPr>
          <w:color w:val="6E6158"/>
          <w:spacing w:val="10"/>
        </w:rPr>
        <w:t> </w:t>
      </w:r>
      <w:r>
        <w:rPr>
          <w:color w:val="6E6158"/>
        </w:rPr>
        <w:t>Flawed</w:t>
      </w:r>
      <w:r>
        <w:rPr>
          <w:color w:val="6E6158"/>
          <w:spacing w:val="9"/>
        </w:rPr>
        <w:t> </w:t>
      </w:r>
      <w:r>
        <w:rPr>
          <w:color w:val="6E6158"/>
        </w:rPr>
        <w:t>Metes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Bounds</w:t>
      </w:r>
    </w:p>
    <w:p>
      <w:pPr>
        <w:pStyle w:val="BodyText"/>
        <w:spacing w:line="32" w:lineRule="exact"/>
        <w:ind w:left="234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27" coordorigin="0,0" coordsize="33,33">
                <v:shape style="position:absolute;left:0;top:0;width:33;height:33" id="docshape28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spacing w:before="3"/>
        <w:ind w:left="356" w:right="0" w:firstLine="0"/>
        <w:jc w:val="left"/>
        <w:rPr>
          <w:sz w:val="19"/>
        </w:rPr>
      </w:pPr>
      <w:r>
        <w:rPr>
          <w:color w:val="6E6158"/>
          <w:spacing w:val="-2"/>
          <w:sz w:val="19"/>
        </w:rPr>
        <w:t>Description,”</w:t>
      </w:r>
      <w:r>
        <w:rPr>
          <w:color w:val="6E6158"/>
          <w:spacing w:val="2"/>
          <w:sz w:val="19"/>
        </w:rPr>
        <w:t> </w:t>
      </w:r>
      <w:r>
        <w:rPr>
          <w:i/>
          <w:color w:val="6E6158"/>
          <w:spacing w:val="-2"/>
          <w:sz w:val="20"/>
        </w:rPr>
        <w:t>California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pacing w:val="-2"/>
          <w:sz w:val="20"/>
        </w:rPr>
        <w:t>Land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pacing w:val="-2"/>
          <w:sz w:val="20"/>
        </w:rPr>
        <w:t>Title</w:t>
      </w:r>
      <w:r>
        <w:rPr>
          <w:i/>
          <w:color w:val="6E6158"/>
          <w:sz w:val="20"/>
        </w:rPr>
        <w:t> </w:t>
      </w:r>
      <w:r>
        <w:rPr>
          <w:i/>
          <w:color w:val="6E6158"/>
          <w:spacing w:val="-2"/>
          <w:sz w:val="20"/>
        </w:rPr>
        <w:t>Association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pacing w:val="-2"/>
          <w:sz w:val="20"/>
        </w:rPr>
        <w:t>Claims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pacing w:val="-2"/>
          <w:sz w:val="20"/>
        </w:rPr>
        <w:t>Awareness</w:t>
      </w:r>
      <w:r>
        <w:rPr>
          <w:i/>
          <w:color w:val="6E6158"/>
          <w:sz w:val="20"/>
        </w:rPr>
        <w:t> </w:t>
      </w:r>
      <w:r>
        <w:rPr>
          <w:i/>
          <w:color w:val="6E6158"/>
          <w:spacing w:val="-2"/>
          <w:sz w:val="20"/>
        </w:rPr>
        <w:t>Committee</w:t>
      </w:r>
      <w:r>
        <w:rPr>
          <w:color w:val="6E6158"/>
          <w:spacing w:val="-2"/>
          <w:sz w:val="19"/>
        </w:rPr>
        <w:t>,</w:t>
      </w:r>
      <w:r>
        <w:rPr>
          <w:color w:val="6E6158"/>
          <w:spacing w:val="2"/>
          <w:sz w:val="19"/>
        </w:rPr>
        <w:t> </w:t>
      </w:r>
      <w:r>
        <w:rPr>
          <w:color w:val="6E6158"/>
          <w:spacing w:val="-2"/>
          <w:sz w:val="19"/>
        </w:rPr>
        <w:t>March</w:t>
      </w:r>
      <w:r>
        <w:rPr>
          <w:color w:val="6E6158"/>
          <w:spacing w:val="2"/>
          <w:sz w:val="19"/>
        </w:rPr>
        <w:t> </w:t>
      </w:r>
      <w:r>
        <w:rPr>
          <w:color w:val="6E6158"/>
          <w:spacing w:val="-2"/>
          <w:sz w:val="19"/>
        </w:rPr>
        <w:t>8,</w:t>
      </w:r>
      <w:r>
        <w:rPr>
          <w:color w:val="6E6158"/>
          <w:spacing w:val="3"/>
          <w:sz w:val="19"/>
        </w:rPr>
        <w:t> </w:t>
      </w:r>
      <w:r>
        <w:rPr>
          <w:color w:val="6E6158"/>
          <w:spacing w:val="-4"/>
          <w:sz w:val="19"/>
        </w:rPr>
        <w:t>2018</w:t>
      </w:r>
    </w:p>
    <w:p>
      <w:pPr>
        <w:pStyle w:val="BodyText"/>
        <w:spacing w:line="290" w:lineRule="auto" w:before="171"/>
        <w:ind w:right="6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266452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980505pt;width:1.65pt;height:1.65pt;mso-position-horizontal-relative:page;mso-position-vertical-relative:paragraph;z-index:15737856" id="docshape29" coordorigin="1675,420" coordsize="33,33" path="m1696,452l1687,452,1683,451,1676,444,1675,440,1675,431,1676,428,1683,421,1687,420,1696,420,1699,421,1706,428,1707,431,1707,436,1707,440,1706,444,1699,451,1696,4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“The Swiss Cheese Property Conundrum: Correcting CA’s Flawed Metes </w:t>
      </w:r>
      <w:r>
        <w:rPr>
          <w:color w:val="6E6158"/>
        </w:rPr>
        <w:t>and Bounds Descriptions,” </w:t>
      </w:r>
      <w:r>
        <w:rPr>
          <w:i/>
          <w:color w:val="6E6158"/>
          <w:sz w:val="20"/>
        </w:rPr>
        <w:t>Western Real Estate Business</w:t>
      </w:r>
      <w:r>
        <w:rPr>
          <w:color w:val="6E6158"/>
        </w:rPr>
        <w:t>, October 2017</w:t>
      </w:r>
    </w:p>
    <w:p>
      <w:pPr>
        <w:pStyle w:val="BodyText"/>
        <w:spacing w:line="292" w:lineRule="auto" w:before="121"/>
        <w:ind w:right="3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229687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085657pt;width:1.65pt;height:1.65pt;mso-position-horizontal-relative:page;mso-position-vertical-relative:paragraph;z-index:15738368" id="docshape30" coordorigin="1675,362" coordsize="33,33" path="m1696,394l1687,394,1683,393,1676,386,1675,382,1675,373,1676,370,1683,363,1687,362,1696,362,1699,363,1706,370,1707,373,1707,378,1707,382,1706,386,1699,393,1696,39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“The Devilish Details: Keeping an Eye Out for Mortgage Lien Irregularities That You May Not Have Bargained For,” Wendel Rosen Client Seminar, February 13, 2017</w:t>
      </w:r>
    </w:p>
    <w:p>
      <w:pPr>
        <w:pStyle w:val="BodyText"/>
        <w:spacing w:line="302" w:lineRule="auto" w:before="124"/>
        <w:ind w:right="6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236302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6506pt;width:1.65pt;height:1.65pt;mso-position-horizontal-relative:page;mso-position-vertical-relative:paragraph;z-index:15738880" id="docshape31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“Title to Real Property – Strange But True Examples of What Can Go Wrong With Title, and How to Fix Them” Wendel Rosen Client Seminar, December 12, 2017</w:t>
      </w:r>
    </w:p>
    <w:p>
      <w:pPr>
        <w:pStyle w:val="BodyText"/>
        <w:spacing w:line="292" w:lineRule="auto" w:before="113"/>
        <w:ind w:right="3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224011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8672pt;width:1.65pt;height:1.65pt;mso-position-horizontal-relative:page;mso-position-vertical-relative:paragraph;z-index:15739392" id="docshape32" coordorigin="1675,353" coordsize="33,33" path="m1696,385l1687,385,1683,384,1676,377,1675,374,1675,365,1676,361,1683,354,1687,353,1696,353,1699,354,1706,361,1707,365,1707,369,1707,374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“Unraveling Real Estate Co-Owner Disputes,” Oakland Association of </w:t>
      </w:r>
      <w:r>
        <w:rPr>
          <w:color w:val="6E6158"/>
        </w:rPr>
        <w:t>Realtors, December 14, 2015</w:t>
      </w:r>
    </w:p>
    <w:p>
      <w:pPr>
        <w:pStyle w:val="BodyText"/>
        <w:spacing w:line="302" w:lineRule="auto" w:before="123"/>
        <w:ind w:right="6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235705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59502pt;width:1.65pt;height:1.65pt;mso-position-horizontal-relative:page;mso-position-vertical-relative:paragraph;z-index:15739904" id="docshape33" coordorigin="1675,371" coordsize="33,33" path="m1696,404l1687,404,1683,402,1676,396,1675,392,1675,383,1676,379,1683,373,1687,371,1696,371,1699,373,1706,379,1707,383,1707,387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“Easy In, Not Always So Easy Out,” Wendel Rosen Client Seminar, November 10, </w:t>
      </w:r>
      <w:r>
        <w:rPr>
          <w:color w:val="6E6158"/>
          <w:spacing w:val="-4"/>
        </w:rPr>
        <w:t>2015</w:t>
      </w:r>
    </w:p>
    <w:p>
      <w:pPr>
        <w:pStyle w:val="BodyText"/>
        <w:spacing w:line="292" w:lineRule="auto" w:before="113"/>
        <w:ind w:right="6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224049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1668pt;width:1.65pt;height:1.65pt;mso-position-horizontal-relative:page;mso-position-vertical-relative:paragraph;z-index:15740416" id="docshape34" coordorigin="1675,353" coordsize="33,33" path="m1696,385l1687,385,1683,384,1676,377,1675,374,1675,365,1676,361,1683,354,1687,353,1696,353,1699,354,1706,361,1707,365,1707,369,1707,374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Co-Speaker, “Law 257 – Real Estate Transactions &amp; Litigation,” U.C. Berkeley School of Law, Fall Semester 2015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142732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8754pt;width:1.65pt;height:1.65pt;mso-position-horizontal-relative:page;mso-position-vertical-relative:paragraph;z-index:15740928" id="docshape35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7"/>
        </w:rPr>
        <w:t> </w:t>
      </w:r>
      <w:r>
        <w:rPr>
          <w:color w:val="6E6158"/>
        </w:rPr>
        <w:t>“This</w:t>
      </w:r>
      <w:r>
        <w:rPr>
          <w:color w:val="6E6158"/>
          <w:spacing w:val="7"/>
        </w:rPr>
        <w:t> </w:t>
      </w:r>
      <w:r>
        <w:rPr>
          <w:color w:val="6E6158"/>
        </w:rPr>
        <w:t>Land</w:t>
      </w:r>
      <w:r>
        <w:rPr>
          <w:color w:val="6E6158"/>
          <w:spacing w:val="7"/>
        </w:rPr>
        <w:t> </w:t>
      </w:r>
      <w:r>
        <w:rPr>
          <w:color w:val="6E6158"/>
        </w:rPr>
        <w:t>is</w:t>
      </w:r>
      <w:r>
        <w:rPr>
          <w:color w:val="6E6158"/>
          <w:spacing w:val="7"/>
        </w:rPr>
        <w:t> </w:t>
      </w:r>
      <w:r>
        <w:rPr>
          <w:color w:val="6E6158"/>
        </w:rPr>
        <w:t>…</w:t>
      </w:r>
      <w:r>
        <w:rPr>
          <w:color w:val="6E6158"/>
          <w:spacing w:val="7"/>
        </w:rPr>
        <w:t> </w:t>
      </w:r>
      <w:r>
        <w:rPr>
          <w:color w:val="6E6158"/>
        </w:rPr>
        <w:t>Whose</w:t>
      </w:r>
      <w:r>
        <w:rPr>
          <w:color w:val="6E6158"/>
          <w:spacing w:val="7"/>
        </w:rPr>
        <w:t> </w:t>
      </w:r>
      <w:r>
        <w:rPr>
          <w:color w:val="6E6158"/>
        </w:rPr>
        <w:t>Land?”</w:t>
      </w:r>
      <w:r>
        <w:rPr>
          <w:color w:val="6E6158"/>
          <w:spacing w:val="7"/>
        </w:rPr>
        <w:t> </w:t>
      </w:r>
      <w:r>
        <w:rPr>
          <w:color w:val="6E6158"/>
        </w:rPr>
        <w:t>Wendel</w:t>
      </w:r>
      <w:r>
        <w:rPr>
          <w:color w:val="6E6158"/>
          <w:spacing w:val="7"/>
        </w:rPr>
        <w:t> </w:t>
      </w:r>
      <w:r>
        <w:rPr>
          <w:color w:val="6E6158"/>
        </w:rPr>
        <w:t>Rosen</w:t>
      </w:r>
      <w:r>
        <w:rPr>
          <w:color w:val="6E6158"/>
          <w:spacing w:val="7"/>
        </w:rPr>
        <w:t> </w:t>
      </w:r>
      <w:r>
        <w:rPr>
          <w:color w:val="6E6158"/>
        </w:rPr>
        <w:t>Client</w:t>
      </w:r>
      <w:r>
        <w:rPr>
          <w:color w:val="6E6158"/>
          <w:spacing w:val="7"/>
        </w:rPr>
        <w:t> </w:t>
      </w:r>
      <w:r>
        <w:rPr>
          <w:color w:val="6E6158"/>
        </w:rPr>
        <w:t>Seminar,</w:t>
      </w:r>
      <w:r>
        <w:rPr>
          <w:color w:val="6E6158"/>
          <w:spacing w:val="7"/>
        </w:rPr>
        <w:t> </w:t>
      </w:r>
      <w:r>
        <w:rPr>
          <w:color w:val="6E6158"/>
        </w:rPr>
        <w:t>April</w:t>
      </w:r>
      <w:r>
        <w:rPr>
          <w:color w:val="6E6158"/>
          <w:spacing w:val="7"/>
        </w:rPr>
        <w:t> </w:t>
      </w:r>
      <w:r>
        <w:rPr>
          <w:color w:val="6E6158"/>
        </w:rPr>
        <w:t>14,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2015</w:t>
      </w:r>
    </w:p>
    <w:p>
      <w:pPr>
        <w:pStyle w:val="BodyText"/>
        <w:spacing w:line="292" w:lineRule="auto" w:before="174"/>
        <w:ind w:right="1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262998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08561pt;width:1.65pt;height:1.65pt;mso-position-horizontal-relative:page;mso-position-vertical-relative:paragraph;z-index:15741440" id="docshape36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“Default Remedies: Traps for the Unwary … Weapons for the Wise,” Wendel Rosen Client Seminar, June 10, 2014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235958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9414pt;width:1.65pt;height:1.65pt;mso-position-horizontal-relative:page;mso-position-vertical-relative:paragraph;z-index:15741952" id="docshape37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“Understanding Title Insurance: What it Typically Covers and Excludes, and </w:t>
      </w:r>
      <w:r>
        <w:rPr>
          <w:color w:val="6E6158"/>
        </w:rPr>
        <w:t>What Additional Coverage May Be Available,” Wendel Rosen Speaker Series, March 11, 2014</w:t>
      </w:r>
    </w:p>
    <w:p>
      <w:pPr>
        <w:spacing w:line="283" w:lineRule="auto" w:before="113"/>
        <w:ind w:left="356" w:right="322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224301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1556pt;width:1.65pt;height:1.65pt;mso-position-horizontal-relative:page;mso-position-vertical-relative:paragraph;z-index:15742464" id="docshape38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 “New Law Regarding Short Sales Goes Into Immediate Effect: No Deficiency Judgments,” </w:t>
      </w:r>
      <w:r>
        <w:rPr>
          <w:i/>
          <w:color w:val="6E6158"/>
          <w:sz w:val="20"/>
        </w:rPr>
        <w:t>Wendel Rosen Client Update, </w:t>
      </w:r>
      <w:r>
        <w:rPr>
          <w:color w:val="6E6158"/>
          <w:sz w:val="19"/>
        </w:rPr>
        <w:t>July 2011</w:t>
      </w:r>
    </w:p>
    <w:p>
      <w:pPr>
        <w:spacing w:line="285" w:lineRule="auto" w:before="117"/>
        <w:ind w:left="356" w:right="322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238643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790842pt;width:1.65pt;height:1.65pt;mso-position-horizontal-relative:page;mso-position-vertical-relative:paragraph;z-index:15742976" id="docshape39" coordorigin="1675,376" coordsize="33,33" path="m1696,408l1687,408,1683,407,1676,400,1675,397,1675,388,1676,384,1683,377,1687,376,1696,376,1699,377,1706,384,1707,388,1707,392,1707,397,1706,400,1699,407,1696,4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 “Reclaiming Lien Priority: The Doctrine of Equitable Subrogation Explained,” </w:t>
      </w:r>
      <w:r>
        <w:rPr>
          <w:i/>
          <w:color w:val="6E6158"/>
          <w:sz w:val="20"/>
        </w:rPr>
        <w:t>Wendel</w:t>
      </w:r>
      <w:r>
        <w:rPr>
          <w:i/>
          <w:color w:val="6E6158"/>
          <w:sz w:val="20"/>
        </w:rPr>
        <w:t> Rosen Client Update</w:t>
      </w:r>
      <w:r>
        <w:rPr>
          <w:color w:val="6E6158"/>
          <w:sz w:val="19"/>
        </w:rPr>
        <w:t>, June 2013</w:t>
      </w:r>
    </w:p>
    <w:p>
      <w:pPr>
        <w:pStyle w:val="BodyText"/>
        <w:spacing w:line="292" w:lineRule="auto" w:before="127"/>
        <w:ind w:right="6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232977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34466pt;width:1.65pt;height:1.65pt;mso-position-horizontal-relative:page;mso-position-vertical-relative:paragraph;z-index:15743488" id="docshape40" coordorigin="1675,367" coordsize="33,33" path="m1696,399l1687,399,1683,398,1676,391,1675,388,1675,379,1676,375,1683,368,1687,367,1696,367,1699,368,1706,375,1707,379,1707,383,1707,388,1706,391,1699,398,1696,39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“Insured Closing Letters: What Attorneys Need to Know,” tele-</w:t>
      </w:r>
      <w:r>
        <w:rPr>
          <w:color w:val="6E6158"/>
        </w:rPr>
        <w:t>presentation, National Business Institute, May 2011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142770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1745pt;width:1.65pt;height:1.65pt;mso-position-horizontal-relative:page;mso-position-vertical-relative:paragraph;z-index:15744000" id="docshape41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3"/>
        </w:rPr>
        <w:t> </w:t>
      </w:r>
      <w:r>
        <w:rPr>
          <w:color w:val="6E6158"/>
        </w:rPr>
        <w:t>“Opportunity</w:t>
      </w:r>
      <w:r>
        <w:rPr>
          <w:color w:val="6E6158"/>
          <w:spacing w:val="14"/>
        </w:rPr>
        <w:t> </w:t>
      </w:r>
      <w:r>
        <w:rPr>
          <w:color w:val="6E6158"/>
        </w:rPr>
        <w:t>Knocks:</w:t>
      </w:r>
      <w:r>
        <w:rPr>
          <w:color w:val="6E6158"/>
          <w:spacing w:val="13"/>
        </w:rPr>
        <w:t> </w:t>
      </w:r>
      <w:r>
        <w:rPr>
          <w:color w:val="6E6158"/>
        </w:rPr>
        <w:t>Investing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Residential</w:t>
      </w:r>
      <w:r>
        <w:rPr>
          <w:color w:val="6E6158"/>
          <w:spacing w:val="14"/>
        </w:rPr>
        <w:t> </w:t>
      </w:r>
      <w:r>
        <w:rPr>
          <w:color w:val="6E6158"/>
        </w:rPr>
        <w:t>Income</w:t>
      </w:r>
      <w:r>
        <w:rPr>
          <w:color w:val="6E6158"/>
          <w:spacing w:val="13"/>
        </w:rPr>
        <w:t> </w:t>
      </w:r>
      <w:r>
        <w:rPr>
          <w:color w:val="6E6158"/>
        </w:rPr>
        <w:t>Property,”</w:t>
      </w:r>
      <w:r>
        <w:rPr>
          <w:color w:val="6E6158"/>
          <w:spacing w:val="14"/>
        </w:rPr>
        <w:t> </w:t>
      </w:r>
      <w:r>
        <w:rPr>
          <w:color w:val="6E6158"/>
        </w:rPr>
        <w:t>April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2011</w:t>
      </w:r>
    </w:p>
    <w:p>
      <w:pPr>
        <w:pStyle w:val="BodyText"/>
        <w:spacing w:after="0"/>
        <w:sectPr>
          <w:pgSz w:w="12240" w:h="15840"/>
          <w:pgMar w:top="500" w:bottom="280" w:left="1440" w:right="1440"/>
        </w:sectPr>
      </w:pPr>
    </w:p>
    <w:p>
      <w:pPr>
        <w:spacing w:line="278" w:lineRule="auto" w:before="78"/>
        <w:ind w:left="356" w:right="740" w:firstLine="0"/>
        <w:jc w:val="both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208620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36pt;width:1.65pt;height:1.65pt;mso-position-horizontal-relative:page;mso-position-vertical-relative:paragraph;z-index:15744512" id="docshape42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 “Ensure That You’ve Insured The Right Property,” </w:t>
      </w:r>
      <w:r>
        <w:rPr>
          <w:i/>
          <w:color w:val="6E6158"/>
          <w:sz w:val="20"/>
        </w:rPr>
        <w:t>California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Land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Title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Association</w:t>
      </w:r>
      <w:r>
        <w:rPr>
          <w:i/>
          <w:color w:val="6E6158"/>
          <w:sz w:val="20"/>
        </w:rPr>
        <w:t> (CLTA) Claims Awareness Hot Sheet</w:t>
      </w:r>
      <w:r>
        <w:rPr>
          <w:color w:val="6E6158"/>
          <w:sz w:val="19"/>
        </w:rPr>
        <w:t>, October, 2010</w:t>
      </w:r>
    </w:p>
    <w:p>
      <w:pPr>
        <w:spacing w:line="280" w:lineRule="auto" w:before="141"/>
        <w:ind w:left="356" w:right="504" w:firstLine="0"/>
        <w:jc w:val="both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330073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990034pt;width:1.65pt;height:1.65pt;mso-position-horizontal-relative:page;mso-position-vertical-relative:paragraph;z-index:15745024" id="docshape43" coordorigin="1675,520" coordsize="33,33" path="m1696,552l1687,552,1683,551,1676,544,1675,541,1675,532,1676,528,1683,521,1687,520,1696,520,1699,521,1706,528,1707,532,1707,536,1707,541,1706,544,1699,551,1696,5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 “New Case Holds That Title Company Has No Liability When It Gratuitously </w:t>
      </w:r>
      <w:r>
        <w:rPr>
          <w:color w:val="6E6158"/>
          <w:sz w:val="19"/>
        </w:rPr>
        <w:t>Provides Erroneous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Title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Information,”</w:t>
      </w:r>
      <w:r>
        <w:rPr>
          <w:color w:val="6E6158"/>
          <w:spacing w:val="-5"/>
          <w:sz w:val="19"/>
        </w:rPr>
        <w:t> </w:t>
      </w:r>
      <w:r>
        <w:rPr>
          <w:i/>
          <w:color w:val="6E6158"/>
          <w:sz w:val="20"/>
        </w:rPr>
        <w:t>California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Land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Title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Association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(CLTA)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Claims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Awareness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Hot</w:t>
      </w:r>
      <w:r>
        <w:rPr>
          <w:i/>
          <w:color w:val="6E6158"/>
          <w:sz w:val="20"/>
        </w:rPr>
        <w:t> Sheet</w:t>
      </w:r>
      <w:r>
        <w:rPr>
          <w:color w:val="6E6158"/>
          <w:sz w:val="19"/>
        </w:rPr>
        <w:t>, September, 2010</w:t>
      </w:r>
    </w:p>
    <w:p>
      <w:pPr>
        <w:pStyle w:val="BodyText"/>
        <w:spacing w:line="302" w:lineRule="auto" w:before="130"/>
        <w:ind w:right="6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240500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937080pt;width:1.65pt;height:1.65pt;mso-position-horizontal-relative:page;mso-position-vertical-relative:paragraph;z-index:15745536" id="docshape44" coordorigin="1675,379" coordsize="33,33" path="m1696,411l1687,411,1683,410,1676,403,1675,400,1675,391,1676,387,1683,380,1687,379,1696,379,1699,380,1706,387,1707,391,1707,395,1707,400,1706,403,1699,410,1696,41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“Important Provisions to Include in Real Estate Related Loan </w:t>
      </w:r>
      <w:r>
        <w:rPr>
          <w:color w:val="6E6158"/>
        </w:rPr>
        <w:t>Documents,” National Business Institute, May 2010</w:t>
      </w:r>
    </w:p>
    <w:p>
      <w:pPr>
        <w:pStyle w:val="BodyText"/>
        <w:spacing w:line="292" w:lineRule="auto" w:before="113"/>
        <w:ind w:right="3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224399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9239pt;width:1.65pt;height:1.65pt;mso-position-horizontal-relative:page;mso-position-vertical-relative:paragraph;z-index:15746048" id="docshape45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“Borrower vs. Lender: Negotiating the Workout Agreement,” National </w:t>
      </w:r>
      <w:r>
        <w:rPr>
          <w:color w:val="6E6158"/>
        </w:rPr>
        <w:t>Business Institute, May 2010</w:t>
      </w:r>
    </w:p>
    <w:p>
      <w:pPr>
        <w:spacing w:line="285" w:lineRule="auto" w:before="113"/>
        <w:ind w:left="356" w:right="322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236094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0086pt;width:1.65pt;height:1.65pt;mso-position-horizontal-relative:page;mso-position-vertical-relative:paragraph;z-index:15746560" id="docshape46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 “RESPA Update: Enforcement Delay a Call to Action,” </w:t>
      </w:r>
      <w:r>
        <w:rPr>
          <w:i/>
          <w:color w:val="6E6158"/>
          <w:sz w:val="20"/>
        </w:rPr>
        <w:t>Wendel Rosen Client</w:t>
      </w:r>
      <w:r>
        <w:rPr>
          <w:i/>
          <w:color w:val="6E6158"/>
          <w:sz w:val="20"/>
        </w:rPr>
        <w:t> Update</w:t>
      </w:r>
      <w:r>
        <w:rPr>
          <w:color w:val="6E6158"/>
          <w:sz w:val="19"/>
        </w:rPr>
        <w:t>, December 16, 2009</w:t>
      </w:r>
    </w:p>
    <w:p>
      <w:pPr>
        <w:pStyle w:val="BodyText"/>
        <w:spacing w:line="292" w:lineRule="auto" w:before="127"/>
        <w:ind w:right="1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232967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343893pt;width:1.65pt;height:1.65pt;mso-position-horizontal-relative:page;mso-position-vertical-relative:paragraph;z-index:15747072" id="docshape47" coordorigin="1675,367" coordsize="33,33" path="m1696,399l1687,399,1683,398,1676,391,1675,388,1675,379,1676,375,1683,368,1687,367,1696,367,1699,368,1706,375,1707,379,1707,383,1707,388,1706,391,1699,398,1696,39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 “Real Property Foreclosure: A Step-by-Step Workshop,” National Business </w:t>
      </w:r>
      <w:r>
        <w:rPr>
          <w:color w:val="6E6158"/>
        </w:rPr>
        <w:t>Institute, November 2009</w:t>
      </w:r>
    </w:p>
    <w:p>
      <w:pPr>
        <w:pStyle w:val="BodyText"/>
        <w:spacing w:line="297" w:lineRule="auto" w:before="123"/>
        <w:ind w:right="6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323616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81617pt;width:1.65pt;height:1.65pt;mso-position-horizontal-relative:page;mso-position-vertical-relative:paragraph;z-index:15747584" id="docshape48" coordorigin="1675,510" coordsize="33,33" path="m1696,542l1687,542,1683,541,1676,534,1675,530,1675,521,1676,518,1683,511,1687,510,1696,510,1699,511,1706,518,1707,521,1707,526,1707,530,1706,534,1699,541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 “In-Depth Title Insurance Principles,” National Business Institute, December </w:t>
      </w:r>
      <w:r>
        <w:rPr>
          <w:color w:val="6E6158"/>
        </w:rPr>
        <w:t>2007</w:t>
      </w:r>
      <w:r>
        <w:rPr>
          <w:color w:val="6E6158"/>
          <w:spacing w:val="40"/>
        </w:rPr>
        <w:t> </w:t>
      </w:r>
      <w:r>
        <w:rPr>
          <w:color w:val="6E6158"/>
        </w:rPr>
        <w:t>Panelist, “Meeting the Challenges of California Real Estate Titles and Title Insurance,”</w:t>
      </w:r>
      <w:r>
        <w:rPr>
          <w:color w:val="6E6158"/>
          <w:spacing w:val="40"/>
        </w:rPr>
        <w:t> </w:t>
      </w:r>
      <w:r>
        <w:rPr>
          <w:color w:val="6E6158"/>
        </w:rPr>
        <w:t>National Business Institute, February 2005</w:t>
      </w:r>
    </w:p>
    <w:p>
      <w:pPr>
        <w:spacing w:line="285" w:lineRule="auto" w:before="10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232627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317152pt;width:1.65pt;height:1.65pt;mso-position-horizontal-relative:page;mso-position-vertical-relative:paragraph;z-index:15748096" id="docshape49" coordorigin="1675,366" coordsize="33,33" path="m1696,399l1687,399,1683,397,1676,391,1675,387,1675,378,1676,374,1683,368,1687,366,1696,366,1699,368,1706,374,1707,378,1707,383,1707,387,1706,391,1699,397,1696,39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“Escrow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101: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Follow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Instructions,”</w:t>
      </w:r>
      <w:r>
        <w:rPr>
          <w:color w:val="6E6158"/>
          <w:spacing w:val="-5"/>
          <w:sz w:val="19"/>
        </w:rPr>
        <w:t> </w:t>
      </w:r>
      <w:r>
        <w:rPr>
          <w:i/>
          <w:color w:val="6E6158"/>
          <w:sz w:val="20"/>
        </w:rPr>
        <w:t>California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Land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Title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Association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(CLTA)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Claims</w:t>
      </w:r>
      <w:r>
        <w:rPr>
          <w:i/>
          <w:color w:val="6E6158"/>
          <w:sz w:val="20"/>
        </w:rPr>
        <w:t> Awareness Hot Sheet</w:t>
      </w:r>
      <w:r>
        <w:rPr>
          <w:color w:val="6E6158"/>
          <w:sz w:val="19"/>
        </w:rPr>
        <w:t>, February, 2005</w:t>
      </w:r>
    </w:p>
    <w:p>
      <w:pPr>
        <w:pStyle w:val="BodyText"/>
        <w:spacing w:line="292" w:lineRule="auto" w:before="126"/>
        <w:ind w:right="6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232676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320959pt;width:1.65pt;height:1.65pt;mso-position-horizontal-relative:page;mso-position-vertical-relative:paragraph;z-index:15748608" id="docshape50" coordorigin="1675,366" coordsize="33,33" path="m1696,399l1687,399,1683,397,1676,391,1675,387,1675,378,1676,374,1683,368,1687,366,1696,366,1699,368,1706,374,1707,378,1707,383,1707,387,1706,391,1699,397,1696,39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 “California Real Estate Law: Problems and Solutions,” National Business </w:t>
      </w:r>
      <w:r>
        <w:rPr>
          <w:color w:val="6E6158"/>
        </w:rPr>
        <w:t>Institute, May 2004</w:t>
      </w:r>
    </w:p>
    <w:p>
      <w:pPr>
        <w:pStyle w:val="Heading1"/>
        <w:spacing w:before="16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157617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0791pt;width:1.65pt;height:1.65pt;mso-position-horizontal-relative:page;mso-position-vertical-relative:paragraph;z-index:15749120" id="docshape51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0"/>
        </w:rPr>
        <w:t> </w:t>
      </w:r>
      <w:r>
        <w:rPr>
          <w:color w:val="6E6158"/>
        </w:rPr>
        <w:t>California</w:t>
      </w:r>
      <w:r>
        <w:rPr>
          <w:color w:val="6E6158"/>
          <w:spacing w:val="11"/>
        </w:rPr>
        <w:t> </w:t>
      </w:r>
      <w:r>
        <w:rPr>
          <w:color w:val="6E6158"/>
        </w:rPr>
        <w:t>Land</w:t>
      </w:r>
      <w:r>
        <w:rPr>
          <w:color w:val="6E6158"/>
          <w:spacing w:val="11"/>
        </w:rPr>
        <w:t> </w:t>
      </w:r>
      <w:r>
        <w:rPr>
          <w:color w:val="6E6158"/>
        </w:rPr>
        <w:t>Title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292" w:lineRule="auto" w:before="182"/>
        <w:ind w:right="6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268358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0587pt;width:1.65pt;height:1.65pt;mso-position-horizontal-relative:page;mso-position-vertical-relative:paragraph;z-index:15749632" id="docshape52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S.F. Bay Area Chapter, NAIOP – Commercial Real Estate Development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143226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7674pt;width:1.65pt;height:1.65pt;mso-position-horizontal-relative:page;mso-position-vertical-relative:paragraph;z-index:15750144" id="docshape53" coordorigin="1675,226" coordsize="33,33" path="m1696,258l1687,258,1683,257,1676,250,1675,246,1675,237,1676,233,1683,227,1687,226,1696,226,1699,227,1706,233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1"/>
        </w:rPr>
        <w:t> </w:t>
      </w:r>
      <w:r>
        <w:rPr>
          <w:color w:val="6E6158"/>
        </w:rPr>
        <w:t>Bench</w:t>
      </w:r>
      <w:r>
        <w:rPr>
          <w:color w:val="6E6158"/>
          <w:spacing w:val="11"/>
        </w:rPr>
        <w:t> </w:t>
      </w:r>
      <w:r>
        <w:rPr>
          <w:color w:val="6E6158"/>
        </w:rPr>
        <w:t>Bar</w:t>
      </w:r>
      <w:r>
        <w:rPr>
          <w:color w:val="6E6158"/>
          <w:spacing w:val="11"/>
        </w:rPr>
        <w:t> </w:t>
      </w:r>
      <w:r>
        <w:rPr>
          <w:color w:val="6E6158"/>
        </w:rPr>
        <w:t>Liaison</w:t>
      </w:r>
      <w:r>
        <w:rPr>
          <w:color w:val="6E6158"/>
          <w:spacing w:val="12"/>
        </w:rPr>
        <w:t> </w:t>
      </w:r>
      <w:r>
        <w:rPr>
          <w:color w:val="6E6158"/>
        </w:rPr>
        <w:t>Committee,</w:t>
      </w:r>
      <w:r>
        <w:rPr>
          <w:color w:val="6E6158"/>
          <w:spacing w:val="11"/>
        </w:rPr>
        <w:t> </w:t>
      </w:r>
      <w:r>
        <w:rPr>
          <w:color w:val="6E6158"/>
        </w:rPr>
        <w:t>Federal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Courts</w:t>
      </w:r>
    </w:p>
    <w:p>
      <w:pPr>
        <w:pStyle w:val="BodyText"/>
        <w:spacing w:line="422" w:lineRule="auto" w:before="174"/>
        <w:ind w:right="21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174926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3736pt;width:1.65pt;height:1.65pt;mso-position-horizontal-relative:page;mso-position-vertical-relative:paragraph;z-index:15750656" id="docshape54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433291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17477pt;width:1.65pt;height:1.65pt;mso-position-horizontal-relative:page;mso-position-vertical-relative:paragraph;z-index:15751168" id="docshape55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696824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868095pt;width:1.65pt;height:1.65pt;mso-position-horizontal-relative:page;mso-position-vertical-relative:paragraph;z-index:15751680" id="docshape56" coordorigin="1675,1097" coordsize="33,33" path="m1696,1130l1687,1130,1683,1128,1676,1122,1675,1118,1675,1109,1676,1105,1683,1099,1687,1097,1696,1097,1699,1099,1706,1105,1707,1109,1707,1114,1707,1118,1706,1122,1699,1128,1696,11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Legal Affairs Forum, California Association of REALTORS® Member, Tort and Insurance Claim Sections, American Bar </w:t>
      </w:r>
      <w:r>
        <w:rPr>
          <w:color w:val="6E6158"/>
        </w:rPr>
        <w:t>Association Member, Alameda County Bar Association</w:t>
      </w:r>
    </w:p>
    <w:p>
      <w:pPr>
        <w:pStyle w:val="BodyText"/>
        <w:spacing w:line="232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63652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1979pt;width:1.65pt;height:1.65pt;mso-position-horizontal-relative:page;mso-position-vertical-relative:paragraph;z-index:15752192" id="docshape57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8"/>
        </w:rPr>
        <w:t> </w:t>
      </w:r>
      <w:r>
        <w:rPr>
          <w:color w:val="6E6158"/>
        </w:rPr>
        <w:t>Oakland</w:t>
      </w:r>
      <w:r>
        <w:rPr>
          <w:color w:val="6E6158"/>
          <w:spacing w:val="9"/>
        </w:rPr>
        <w:t> </w:t>
      </w:r>
      <w:r>
        <w:rPr>
          <w:color w:val="6E6158"/>
        </w:rPr>
        <w:t>Rotary,</w:t>
      </w:r>
      <w:r>
        <w:rPr>
          <w:color w:val="6E6158"/>
          <w:spacing w:val="9"/>
        </w:rPr>
        <w:t> </w:t>
      </w:r>
      <w:r>
        <w:rPr>
          <w:color w:val="6E6158"/>
        </w:rPr>
        <w:t>No.</w:t>
      </w:r>
      <w:r>
        <w:rPr>
          <w:color w:val="6E6158"/>
          <w:spacing w:val="9"/>
        </w:rPr>
        <w:t> </w:t>
      </w:r>
      <w:r>
        <w:rPr>
          <w:color w:val="6E6158"/>
          <w:spacing w:val="-10"/>
        </w:rPr>
        <w:t>3</w:t>
      </w:r>
    </w:p>
    <w:p>
      <w:pPr>
        <w:pStyle w:val="BodyText"/>
        <w:spacing w:before="48"/>
        <w:ind w:left="0"/>
        <w:rPr>
          <w:sz w:val="24"/>
        </w:rPr>
      </w:pPr>
    </w:p>
    <w:p>
      <w:pPr>
        <w:pStyle w:val="Heading1"/>
        <w:spacing w:before="1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left="0"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152434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275pt;width:1.65pt;height:1.65pt;mso-position-horizontal-relative:page;mso-position-vertical-relative:paragraph;z-index:15752704" id="docshape58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175331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566pt;width:1.65pt;height:1.65pt;mso-position-horizontal-relative:page;mso-position-vertical-relative:paragraph;z-index:15753216" id="docshape59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Central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175281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1723pt;width:1.65pt;height:1.65pt;mso-position-horizontal-relative:page;mso-position-vertical-relative:paragraph;z-index:15753728" id="docshape60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175231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7761pt;width:1.65pt;height:1.65pt;mso-position-horizontal-relative:page;mso-position-vertical-relative:paragraph;z-index:15754240" id="docshape61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175181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3798pt;width:1.65pt;height:1.65pt;mso-position-horizontal-relative:page;mso-position-vertical-relative:paragraph;z-index:15754752" id="docshape62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Southern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175218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6733pt;width:1.65pt;height:1.65pt;mso-position-horizontal-relative:page;mso-position-vertical-relative:paragraph;z-index:15755264" id="docshape63" coordorigin="1675,276" coordsize="33,33" path="m1696,308l1687,308,1683,307,1676,301,1675,297,1675,288,1676,284,1683,278,1687,276,1696,276,1699,278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2"/>
      <w:ind w:left="104"/>
    </w:pPr>
    <w:rPr>
      <w:rFonts w:ascii="Century Gothic" w:hAnsi="Century Gothic" w:eastAsia="Century Gothic" w:cs="Century Gothic"/>
      <w:b/>
      <w:bCs/>
      <w:sz w:val="29"/>
      <w:szCs w:val="2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mepstei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2025-02-24T17:15:08Z</dcterms:created>
  <dcterms:modified xsi:type="dcterms:W3CDTF">2025-02-24T17:15:08Z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LastSaved">
    <vt:filetime>2025-02-24T00:00:00Z</vt:filetime>
  </property>
  <property fmtid="{D5CDD505-2E9C-101B-9397-08002B2CF9AE}" pid="4" name="Producer">
    <vt:lpwstr>ConvertAPI</vt:lpwstr>
  </property>
</Properties>
</file>