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39"/>
        </w:rPr>
      </w:pPr>
    </w:p>
    <w:p>
      <w:pPr>
        <w:pStyle w:val="BodyText"/>
        <w:spacing w:before="344"/>
        <w:ind w:left="0"/>
        <w:rPr>
          <w:rFonts w:ascii="Times New Roman"/>
          <w:sz w:val="39"/>
        </w:rPr>
      </w:pPr>
    </w:p>
    <w:p>
      <w:pPr>
        <w:spacing w:line="216" w:lineRule="auto" w:before="1"/>
        <w:ind w:left="6019" w:right="1245" w:hanging="1"/>
        <w:jc w:val="center"/>
        <w:rPr>
          <w:sz w:val="39"/>
        </w:rPr>
      </w:pPr>
      <w:r>
        <w:rPr>
          <w:color w:val="FFFFFF"/>
          <w:sz w:val="39"/>
        </w:rPr>
        <w:t>ROBIN L. </w:t>
      </w:r>
      <w:r>
        <w:rPr>
          <w:color w:val="FFFFFF"/>
          <w:spacing w:val="-2"/>
          <w:sz w:val="39"/>
        </w:rPr>
        <w:t>THORNTON</w:t>
      </w:r>
    </w:p>
    <w:p>
      <w:pPr>
        <w:spacing w:before="48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9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ROBIN</w:t>
      </w:r>
      <w:r>
        <w:rPr>
          <w:color w:val="FF8100"/>
          <w:spacing w:val="7"/>
        </w:rPr>
        <w:t> </w:t>
      </w:r>
      <w:r>
        <w:rPr>
          <w:color w:val="FF8100"/>
        </w:rPr>
        <w:t>L.</w:t>
      </w:r>
      <w:r>
        <w:rPr>
          <w:color w:val="FF8100"/>
          <w:spacing w:val="-42"/>
        </w:rPr>
        <w:t> </w:t>
      </w:r>
      <w:r>
        <w:rPr>
          <w:b w:val="0"/>
          <w:color w:val="FFFFFF"/>
          <w:spacing w:val="-689"/>
          <w:w w:val="99"/>
          <w:position w:val="15"/>
          <w:sz w:val="145"/>
        </w:rPr>
        <w:t>“</w:t>
      </w:r>
      <w:r>
        <w:rPr>
          <w:color w:val="FF8100"/>
          <w:spacing w:val="-2"/>
        </w:rPr>
        <w:t>THORNTON</w:t>
      </w:r>
    </w:p>
    <w:p>
      <w:pPr>
        <w:spacing w:before="103"/>
        <w:ind w:left="1477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Oakland</w:t>
        </w:r>
      </w:hyperlink>
    </w:p>
    <w:p>
      <w:pPr>
        <w:tabs>
          <w:tab w:pos="3316" w:val="left" w:leader="none"/>
        </w:tabs>
        <w:spacing w:before="54"/>
        <w:ind w:left="1476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510.622.7674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510.834.1928</w:t>
      </w:r>
    </w:p>
    <w:p>
      <w:pPr>
        <w:spacing w:before="119"/>
        <w:ind w:left="1477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rthornton@fennemorelaw.com</w:t>
        </w:r>
      </w:hyperlink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0"/>
        <w:ind w:left="0"/>
        <w:rPr>
          <w:sz w:val="16"/>
        </w:rPr>
      </w:pPr>
    </w:p>
    <w:p>
      <w:pPr>
        <w:tabs>
          <w:tab w:pos="4251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Life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better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when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you’re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laughing.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479" w:space="817"/>
            <w:col w:w="6064"/>
          </w:cols>
        </w:sectPr>
      </w:pPr>
    </w:p>
    <w:p>
      <w:pPr>
        <w:pStyle w:val="BodyText"/>
        <w:spacing w:line="302" w:lineRule="auto" w:before="21"/>
        <w:ind w:left="104" w:right="2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821824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Robin Thornton chairs the Eminent Domain Practice Group at Fennemore.</w:t>
      </w:r>
      <w:r>
        <w:rPr>
          <w:color w:val="6E6158"/>
          <w:spacing w:val="80"/>
        </w:rPr>
        <w:t> </w:t>
      </w:r>
      <w:r>
        <w:rPr>
          <w:color w:val="6E6158"/>
        </w:rPr>
        <w:t>With extensive experience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civil</w:t>
      </w:r>
      <w:r>
        <w:rPr>
          <w:color w:val="6E6158"/>
          <w:spacing w:val="16"/>
        </w:rPr>
        <w:t> </w:t>
      </w:r>
      <w:r>
        <w:rPr>
          <w:color w:val="6E6158"/>
        </w:rPr>
        <w:t>litigation,</w:t>
      </w:r>
      <w:r>
        <w:rPr>
          <w:color w:val="6E6158"/>
          <w:spacing w:val="16"/>
        </w:rPr>
        <w:t> </w:t>
      </w:r>
      <w:r>
        <w:rPr>
          <w:color w:val="6E6158"/>
        </w:rPr>
        <w:t>she</w:t>
      </w:r>
      <w:r>
        <w:rPr>
          <w:color w:val="6E6158"/>
          <w:spacing w:val="16"/>
        </w:rPr>
        <w:t> </w:t>
      </w:r>
      <w:r>
        <w:rPr>
          <w:color w:val="6E6158"/>
        </w:rPr>
        <w:t>represents</w:t>
      </w:r>
      <w:r>
        <w:rPr>
          <w:color w:val="6E6158"/>
          <w:spacing w:val="16"/>
        </w:rPr>
        <w:t> </w:t>
      </w:r>
      <w:r>
        <w:rPr>
          <w:color w:val="6E6158"/>
        </w:rPr>
        <w:t>public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private</w:t>
      </w:r>
      <w:r>
        <w:rPr>
          <w:color w:val="6E6158"/>
          <w:spacing w:val="16"/>
        </w:rPr>
        <w:t> </w:t>
      </w:r>
      <w:r>
        <w:rPr>
          <w:color w:val="6E6158"/>
        </w:rPr>
        <w:t>entities,</w:t>
      </w:r>
      <w:r>
        <w:rPr>
          <w:color w:val="6E6158"/>
          <w:spacing w:val="16"/>
        </w:rPr>
        <w:t> </w:t>
      </w:r>
      <w:r>
        <w:rPr>
          <w:color w:val="6E6158"/>
        </w:rPr>
        <w:t>businesses,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274"/>
      </w:pPr>
      <w:r>
        <w:rPr>
          <w:color w:val="6E6158"/>
        </w:rPr>
        <w:t>individuals, guiding them through every stage of the legal process—from strategic advisory </w:t>
      </w:r>
      <w:r>
        <w:rPr>
          <w:color w:val="6E6158"/>
        </w:rPr>
        <w:t>work</w:t>
      </w:r>
      <w:r>
        <w:rPr>
          <w:color w:val="6E6158"/>
          <w:spacing w:val="80"/>
        </w:rPr>
        <w:t> </w:t>
      </w:r>
      <w:r>
        <w:rPr>
          <w:color w:val="6E6158"/>
        </w:rPr>
        <w:t>to hearings, trials, and appeals.</w:t>
      </w:r>
      <w:r>
        <w:rPr>
          <w:color w:val="6E6158"/>
          <w:spacing w:val="80"/>
        </w:rPr>
        <w:t> </w:t>
      </w:r>
      <w:r>
        <w:rPr>
          <w:color w:val="6E6158"/>
        </w:rPr>
        <w:t>She brings a results-driven approach to valuation-based real property litigation, including eminent domain and assessment appeals.</w:t>
      </w:r>
    </w:p>
    <w:p>
      <w:pPr>
        <w:pStyle w:val="BodyText"/>
        <w:spacing w:line="292" w:lineRule="auto" w:before="196"/>
        <w:ind w:left="104"/>
      </w:pPr>
      <w:r>
        <w:rPr>
          <w:color w:val="6E6158"/>
        </w:rPr>
        <w:t>Robin’s passion for the law began in the fifth grade during a mock trial exercise, a moment that</w:t>
      </w:r>
      <w:r>
        <w:rPr>
          <w:color w:val="6E6158"/>
          <w:spacing w:val="40"/>
        </w:rPr>
        <w:t> </w:t>
      </w:r>
      <w:r>
        <w:rPr>
          <w:color w:val="6E6158"/>
        </w:rPr>
        <w:t>inspired her lifelong dedication to justice.</w:t>
      </w:r>
      <w:r>
        <w:rPr>
          <w:color w:val="6E6158"/>
          <w:spacing w:val="78"/>
        </w:rPr>
        <w:t> </w:t>
      </w:r>
      <w:r>
        <w:rPr>
          <w:color w:val="6E6158"/>
        </w:rPr>
        <w:t>She strives to pay it forward by serving as a court tour docent and moot court volunteer, introducing young students to the legal system and career opportunities in law.</w:t>
      </w:r>
    </w:p>
    <w:p>
      <w:pPr>
        <w:pStyle w:val="BodyText"/>
        <w:spacing w:before="206"/>
        <w:ind w:left="104"/>
      </w:pP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recognized</w:t>
      </w:r>
      <w:r>
        <w:rPr>
          <w:color w:val="6E6158"/>
          <w:spacing w:val="11"/>
        </w:rPr>
        <w:t> </w:t>
      </w:r>
      <w:r>
        <w:rPr>
          <w:color w:val="6E6158"/>
        </w:rPr>
        <w:t>advocate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industry</w:t>
      </w:r>
      <w:r>
        <w:rPr>
          <w:color w:val="6E6158"/>
          <w:spacing w:val="11"/>
        </w:rPr>
        <w:t> </w:t>
      </w:r>
      <w:r>
        <w:rPr>
          <w:color w:val="6E6158"/>
        </w:rPr>
        <w:t>thought</w:t>
      </w:r>
      <w:r>
        <w:rPr>
          <w:color w:val="6E6158"/>
          <w:spacing w:val="11"/>
        </w:rPr>
        <w:t> </w:t>
      </w:r>
      <w:r>
        <w:rPr>
          <w:color w:val="6E6158"/>
        </w:rPr>
        <w:t>leader,</w:t>
      </w:r>
      <w:r>
        <w:rPr>
          <w:color w:val="6E6158"/>
          <w:spacing w:val="11"/>
        </w:rPr>
        <w:t> </w:t>
      </w:r>
      <w:r>
        <w:rPr>
          <w:color w:val="6E6158"/>
        </w:rPr>
        <w:t>Robin</w:t>
      </w:r>
      <w:r>
        <w:rPr>
          <w:color w:val="6E6158"/>
          <w:spacing w:val="11"/>
        </w:rPr>
        <w:t> </w:t>
      </w:r>
      <w:r>
        <w:rPr>
          <w:color w:val="6E6158"/>
        </w:rPr>
        <w:t>frequently</w:t>
      </w:r>
      <w:r>
        <w:rPr>
          <w:color w:val="6E6158"/>
          <w:spacing w:val="11"/>
        </w:rPr>
        <w:t> </w:t>
      </w:r>
      <w:r>
        <w:rPr>
          <w:color w:val="6E6158"/>
        </w:rPr>
        <w:t>speaks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key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topics, collaborating with top professionals and experts to navigate the complexities of </w:t>
      </w:r>
      <w:r>
        <w:rPr>
          <w:color w:val="6E6158"/>
        </w:rPr>
        <w:t>property-</w:t>
      </w:r>
      <w:r>
        <w:rPr>
          <w:color w:val="6E6158"/>
          <w:spacing w:val="40"/>
        </w:rPr>
        <w:t> </w:t>
      </w:r>
      <w:r>
        <w:rPr>
          <w:color w:val="6E6158"/>
        </w:rPr>
        <w:t>based</w:t>
      </w:r>
      <w:r>
        <w:rPr>
          <w:color w:val="6E6158"/>
          <w:spacing w:val="34"/>
        </w:rPr>
        <w:t> </w:t>
      </w:r>
      <w:r>
        <w:rPr>
          <w:color w:val="6E6158"/>
        </w:rPr>
        <w:t>litigation.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committed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strategic</w:t>
      </w:r>
      <w:r>
        <w:rPr>
          <w:color w:val="6E6158"/>
          <w:spacing w:val="34"/>
        </w:rPr>
        <w:t> </w:t>
      </w:r>
      <w:r>
        <w:rPr>
          <w:color w:val="6E6158"/>
        </w:rPr>
        <w:t>insights, ensuring</w:t>
      </w:r>
      <w:r>
        <w:rPr>
          <w:color w:val="6E6158"/>
          <w:spacing w:val="31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well-prepared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unique</w:t>
      </w:r>
      <w:r>
        <w:rPr>
          <w:color w:val="6E6158"/>
          <w:spacing w:val="31"/>
        </w:rPr>
        <w:t> </w:t>
      </w:r>
      <w:r>
        <w:rPr>
          <w:color w:val="6E6158"/>
        </w:rPr>
        <w:t>challenges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cases</w:t>
      </w:r>
      <w:r>
        <w:rPr>
          <w:color w:val="6E6158"/>
          <w:spacing w:val="31"/>
        </w:rPr>
        <w:t> </w:t>
      </w:r>
      <w:r>
        <w:rPr>
          <w:color w:val="6E6158"/>
        </w:rPr>
        <w:t>may</w:t>
      </w:r>
      <w:r>
        <w:rPr>
          <w:color w:val="6E6158"/>
          <w:spacing w:val="31"/>
        </w:rPr>
        <w:t> </w:t>
      </w:r>
      <w:r>
        <w:rPr>
          <w:color w:val="6E6158"/>
        </w:rPr>
        <w:t>present.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4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152904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701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416437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18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Golden Gate University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88" w:after="0"/>
        <w:ind w:left="275" w:right="0" w:hanging="171"/>
        <w:jc w:val="left"/>
        <w:rPr>
          <w:sz w:val="19"/>
        </w:rPr>
      </w:pPr>
      <w:r>
        <w:rPr>
          <w:color w:val="6E6158"/>
          <w:sz w:val="19"/>
        </w:rPr>
        <w:t>Real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Litigation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52" w:after="0"/>
        <w:ind w:left="275" w:right="0" w:hanging="171"/>
        <w:jc w:val="left"/>
        <w:rPr>
          <w:sz w:val="19"/>
        </w:rPr>
      </w:pPr>
      <w:r>
        <w:rPr>
          <w:color w:val="6E6158"/>
          <w:spacing w:val="-2"/>
          <w:sz w:val="19"/>
        </w:rPr>
        <w:t>Insurance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60" w:after="0"/>
        <w:ind w:left="275" w:right="0" w:hanging="171"/>
        <w:jc w:val="left"/>
        <w:rPr>
          <w:sz w:val="19"/>
        </w:rPr>
      </w:pPr>
      <w:r>
        <w:rPr>
          <w:color w:val="6E6158"/>
          <w:sz w:val="19"/>
        </w:rPr>
        <w:t>Public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Agency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  <w:tab w:pos="356" w:val="left" w:leader="none"/>
        </w:tabs>
        <w:spacing w:line="292" w:lineRule="auto" w:before="52" w:after="0"/>
        <w:ind w:left="356" w:right="6800" w:hanging="253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278590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36275pt;width:1.65pt;height:1.65pt;mso-position-horizontal-relative:page;mso-position-vertical-relative:paragraph;z-index:15730176" id="docshape9" coordorigin="1675,439" coordsize="33,33" path="m1696,471l1687,471,1683,470,1676,463,1675,459,1675,451,1676,447,1683,440,1687,439,1696,439,1699,440,1706,447,1707,451,1707,455,1707,459,1706,463,1699,470,1696,4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Transportation </w:t>
      </w:r>
      <w:r>
        <w:rPr>
          <w:color w:val="6E6158"/>
          <w:sz w:val="19"/>
        </w:rPr>
        <w:t>Agencies Business Litigation</w:t>
      </w:r>
    </w:p>
    <w:p>
      <w:pPr>
        <w:pStyle w:val="BodyText"/>
        <w:spacing w:line="427" w:lineRule="auto" w:before="123"/>
        <w:ind w:right="70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142997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625pt;width:1.65pt;height:1.65pt;mso-position-horizontal-relative:page;mso-position-vertical-relative:paragraph;z-index:15730688" id="docshape1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401362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3373pt;width:1.65pt;height:1.65pt;mso-position-horizontal-relative:page;mso-position-vertical-relative:paragraph;z-index:15731200" id="docshape1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 </w:t>
      </w:r>
      <w:r>
        <w:rPr>
          <w:color w:val="6E6158"/>
        </w:rPr>
        <w:t>Domain Land Use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55007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1294pt;width:1.65pt;height:1.65pt;mso-position-horizontal-relative:page;mso-position-vertical-relative:paragraph;z-index:15731712" id="docshape12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619pt;width:1.65pt;height:1.65pt;mso-position-horizontal-relative:page;mso-position-vertical-relative:paragraph;z-index:15732224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47"/>
        <w:ind w:left="104" w:right="0" w:firstLine="0"/>
        <w:jc w:val="left"/>
        <w:rPr>
          <w:b/>
          <w:sz w:val="19"/>
        </w:rPr>
      </w:pPr>
      <w:r>
        <w:rPr>
          <w:b/>
          <w:color w:val="6E6158"/>
          <w:sz w:val="19"/>
        </w:rPr>
        <w:t>Appellate</w:t>
      </w:r>
      <w:r>
        <w:rPr>
          <w:b/>
          <w:color w:val="6E6158"/>
          <w:spacing w:val="19"/>
          <w:sz w:val="19"/>
        </w:rPr>
        <w:t> </w:t>
      </w:r>
      <w:r>
        <w:rPr>
          <w:b/>
          <w:color w:val="6E6158"/>
          <w:spacing w:val="-2"/>
          <w:sz w:val="19"/>
        </w:rPr>
        <w:t>Decisions</w:t>
      </w:r>
    </w:p>
    <w:p>
      <w:pPr>
        <w:pStyle w:val="BodyText"/>
        <w:spacing w:before="12"/>
        <w:ind w:left="0"/>
        <w:rPr>
          <w:b/>
        </w:rPr>
      </w:pPr>
    </w:p>
    <w:p>
      <w:pPr>
        <w:spacing w:line="288" w:lineRule="auto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158986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18597pt;width:1.65pt;height:1.65pt;mso-position-horizontal-relative:page;mso-position-vertical-relative:paragraph;z-index:15732736" id="docshape14" coordorigin="1675,250" coordsize="33,33" path="m1696,283l1687,283,1683,281,1676,275,1675,271,1675,262,1676,258,1683,252,1687,250,1696,250,1699,252,1706,258,1707,262,1707,267,1707,271,1706,275,1699,281,1696,2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Navigators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Specialty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Moorefield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Construction,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(2016)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6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5th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1258 </w:t>
      </w:r>
      <w:r>
        <w:rPr>
          <w:color w:val="6E6158"/>
          <w:spacing w:val="-2"/>
          <w:sz w:val="19"/>
        </w:rPr>
        <w:t>(insurance)</w:t>
      </w:r>
    </w:p>
    <w:p>
      <w:pPr>
        <w:spacing w:line="297" w:lineRule="auto" w:before="118"/>
        <w:ind w:left="356" w:right="4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239010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9708pt;width:1.65pt;height:1.65pt;mso-position-horizontal-relative:page;mso-position-vertical-relative:paragraph;z-index:15733248" id="docshape15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Western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Petroleum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Association,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Equalization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(2013)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57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401 (property tax)</w:t>
      </w:r>
    </w:p>
    <w:p>
      <w:pPr>
        <w:pStyle w:val="BodyText"/>
        <w:spacing w:before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133779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3856pt;width:1.65pt;height:1.65pt;mso-position-horizontal-relative:page;mso-position-vertical-relative:paragraph;z-index:15733760" id="docshape16" coordorigin="1675,211" coordsize="33,33" path="m1696,243l1687,243,1683,242,1676,235,1675,231,1675,222,1676,219,1683,212,1687,211,1696,211,1699,212,1706,219,1707,222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Mann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Said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(2019)</w:t>
      </w:r>
      <w:r>
        <w:rPr>
          <w:color w:val="6E6158"/>
          <w:spacing w:val="7"/>
        </w:rPr>
        <w:t> </w:t>
      </w:r>
      <w:r>
        <w:rPr>
          <w:color w:val="6E6158"/>
        </w:rPr>
        <w:t>2019</w:t>
      </w:r>
      <w:r>
        <w:rPr>
          <w:color w:val="6E6158"/>
          <w:spacing w:val="7"/>
        </w:rPr>
        <w:t> </w:t>
      </w:r>
      <w:r>
        <w:rPr>
          <w:color w:val="6E6158"/>
        </w:rPr>
        <w:t>Cal.</w:t>
      </w:r>
      <w:r>
        <w:rPr>
          <w:color w:val="6E6158"/>
          <w:spacing w:val="8"/>
        </w:rPr>
        <w:t> </w:t>
      </w:r>
      <w:r>
        <w:rPr>
          <w:color w:val="6E6158"/>
        </w:rPr>
        <w:t>App.</w:t>
      </w:r>
      <w:r>
        <w:rPr>
          <w:color w:val="6E6158"/>
          <w:spacing w:val="7"/>
        </w:rPr>
        <w:t> </w:t>
      </w:r>
      <w:r>
        <w:rPr>
          <w:color w:val="6E6158"/>
        </w:rPr>
        <w:t>Unpub.</w:t>
      </w:r>
      <w:r>
        <w:rPr>
          <w:color w:val="6E6158"/>
          <w:spacing w:val="7"/>
        </w:rPr>
        <w:t> </w:t>
      </w:r>
      <w:r>
        <w:rPr>
          <w:color w:val="6E6158"/>
        </w:rPr>
        <w:t>LEXIS</w:t>
      </w:r>
      <w:r>
        <w:rPr>
          <w:color w:val="6E6158"/>
          <w:spacing w:val="8"/>
        </w:rPr>
        <w:t> </w:t>
      </w:r>
      <w:r>
        <w:rPr>
          <w:color w:val="6E6158"/>
        </w:rPr>
        <w:t>6641</w:t>
      </w:r>
      <w:r>
        <w:rPr>
          <w:color w:val="6E6158"/>
          <w:spacing w:val="7"/>
        </w:rPr>
        <w:t> </w:t>
      </w:r>
      <w:r>
        <w:rPr>
          <w:color w:val="6E6158"/>
        </w:rPr>
        <w:t>[Unpublished]</w:t>
      </w:r>
      <w:r>
        <w:rPr>
          <w:color w:val="6E6158"/>
          <w:spacing w:val="8"/>
        </w:rPr>
        <w:t> </w:t>
      </w:r>
      <w:r>
        <w:rPr>
          <w:color w:val="6E6158"/>
        </w:rPr>
        <w:t>(contract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dispute)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261500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0614pt;width:1.65pt;height:1.65pt;mso-position-horizontal-relative:page;mso-position-vertical-relative:paragraph;z-index:15734272" id="docshape17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Solano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Transportation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Authority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Scherner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(2020)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First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A159764 [Petition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Writ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Summarily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Denied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after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Preliminary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Opposition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Filing]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(Eminent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domain)</w:t>
      </w:r>
    </w:p>
    <w:p>
      <w:pPr>
        <w:spacing w:line="288" w:lineRule="auto"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238654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1723pt;width:1.65pt;height:1.65pt;mso-position-horizontal-relative:page;mso-position-vertical-relative:paragraph;z-index:15734784" id="docshape18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Solano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Transportation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Authority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Anderson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(2020)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1203017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[Unpublished]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(Eminent </w:t>
      </w:r>
      <w:r>
        <w:rPr>
          <w:color w:val="6E6158"/>
          <w:spacing w:val="-2"/>
          <w:sz w:val="19"/>
        </w:rPr>
        <w:t>domain)</w:t>
      </w:r>
    </w:p>
    <w:p>
      <w:pPr>
        <w:pStyle w:val="Heading1"/>
        <w:spacing w:before="28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right="5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157669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933pt;width:1.65pt;height:1.65pt;mso-position-horizontal-relative:page;mso-position-vertical-relative:paragraph;z-index:15735296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416035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701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IRWA Chapter Two Sophie Yore Award, IRWA Chapter </w:t>
      </w:r>
      <w:r>
        <w:rPr>
          <w:color w:val="6E6158"/>
        </w:rPr>
        <w:t>Two</w:t>
      </w:r>
    </w:p>
    <w:p>
      <w:pPr>
        <w:pStyle w:val="BodyText"/>
        <w:spacing w:line="420" w:lineRule="auto"/>
        <w:ind w:right="1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55074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6614pt;width:1.65pt;height:1.65pt;mso-position-horizontal-relative:page;mso-position-vertical-relative:paragraph;z-index:15736320" id="docshape21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318607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7229pt;width:1.65pt;height:1.65pt;mso-position-horizontal-relative:page;mso-position-vertical-relative:paragraph;z-index:15736832" id="docshape22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Francisco Business Times Bizwomen Mentoring Monday, Mentor, </w:t>
      </w:r>
      <w:r>
        <w:rPr>
          <w:color w:val="6E6158"/>
        </w:rPr>
        <w:t>2023 Professional of the Year, IRWA Chapter Two, 2022-2023 Term</w:t>
      </w:r>
    </w:p>
    <w:p>
      <w:pPr>
        <w:pStyle w:val="BodyText"/>
        <w:spacing w:line="427" w:lineRule="auto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59233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64028pt;width:1.65pt;height:1.65pt;mso-position-horizontal-relative:page;mso-position-vertical-relative:paragraph;z-index:15737344" id="docshape23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317598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07771pt;width:1.65pt;height:1.65pt;mso-position-horizontal-relative:page;mso-position-vertical-relative:paragraph;z-index:15737856" id="docshape24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Most Influential Women in Bay Area Business Honoree, San Francisco Business Times, </w:t>
      </w:r>
      <w:r>
        <w:rPr>
          <w:color w:val="6E6158"/>
        </w:rPr>
        <w:t>2022 Legal Visionary in the Business of Law, L.A. Times, 2021</w:t>
      </w:r>
    </w:p>
    <w:p>
      <w:pPr>
        <w:spacing w:line="22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49348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85684pt;width:1.65pt;height:1.65pt;mso-position-horizontal-relative:page;mso-position-vertical-relative:paragraph;z-index:15738368" id="docshape25" coordorigin="1675,78" coordsize="33,33" path="m1696,110l1687,110,1683,109,1676,102,1675,98,1675,89,1676,86,1683,79,1687,78,1696,78,1699,79,1706,86,1707,89,1707,94,1707,98,1706,102,1699,109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Rising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Eminent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Domain,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168274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42pt;width:1.65pt;height:1.65pt;mso-position-horizontal-relative:page;mso-position-vertical-relative:paragraph;z-index:15738880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4"/>
        </w:rPr>
        <w:t> </w:t>
      </w:r>
      <w:r>
        <w:rPr>
          <w:color w:val="6E6158"/>
        </w:rPr>
        <w:t>Women</w:t>
      </w:r>
      <w:r>
        <w:rPr>
          <w:color w:val="6E6158"/>
          <w:spacing w:val="15"/>
        </w:rPr>
        <w:t> </w:t>
      </w:r>
      <w:r>
        <w:rPr>
          <w:color w:val="6E6158"/>
        </w:rPr>
        <w:t>Attorneys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Northern</w:t>
      </w:r>
      <w:r>
        <w:rPr>
          <w:color w:val="6E6158"/>
          <w:spacing w:val="15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5"/>
        </w:rPr>
        <w:t> </w:t>
      </w:r>
      <w:r>
        <w:rPr>
          <w:color w:val="6E6158"/>
        </w:rPr>
        <w:t>Francisco</w:t>
      </w:r>
      <w:r>
        <w:rPr>
          <w:color w:val="6E6158"/>
          <w:spacing w:val="15"/>
        </w:rPr>
        <w:t> </w:t>
      </w:r>
      <w:r>
        <w:rPr>
          <w:color w:val="6E6158"/>
        </w:rPr>
        <w:t>Magazine,</w:t>
      </w:r>
      <w:r>
        <w:rPr>
          <w:color w:val="6E6158"/>
          <w:spacing w:val="14"/>
        </w:rPr>
        <w:t> </w:t>
      </w:r>
      <w:r>
        <w:rPr>
          <w:color w:val="6E6158"/>
        </w:rPr>
        <w:t>2013-</w:t>
      </w:r>
      <w:r>
        <w:rPr>
          <w:color w:val="6E6158"/>
          <w:spacing w:val="-4"/>
        </w:rPr>
        <w:t>2020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338703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6958pt;width:1.65pt;height:1.65pt;mso-position-horizontal-relative:page;mso-position-vertical-relative:paragraph;z-index:15739392" id="docshape2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Eminent Domain – Annual Legal Update – International Right of Way Association, Chapter Two Luncheon; International Right of Way Association, Chapter 42 Luncheon, </w:t>
      </w:r>
      <w:r>
        <w:rPr>
          <w:color w:val="6E6158"/>
        </w:rPr>
        <w:t>2021-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232474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5117pt;width:1.65pt;height:1.65pt;mso-position-horizontal-relative:page;mso-position-vertical-relative:paragraph;z-index:15739904" id="docshape28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The Uphill Battle:</w:t>
      </w:r>
      <w:r>
        <w:rPr>
          <w:color w:val="6E6158"/>
          <w:spacing w:val="40"/>
        </w:rPr>
        <w:t> </w:t>
      </w:r>
      <w:r>
        <w:rPr>
          <w:color w:val="6E6158"/>
        </w:rPr>
        <w:t>Overcoming Negative Perceptions of Eminent Domain at Trial, IRWA Conference – Long Beach, CA, 2024</w:t>
      </w:r>
    </w:p>
    <w:p>
      <w:pPr>
        <w:pStyle w:val="BodyText"/>
        <w:spacing w:line="420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130981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538pt;width:1.65pt;height:1.65pt;mso-position-horizontal-relative:page;mso-position-vertical-relative:paragraph;z-index:15740416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394514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4154pt;width:1.65pt;height:1.65pt;mso-position-horizontal-relative:page;mso-position-vertical-relative:paragraph;z-index:15740928" id="docshape30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Conservation Easements in California, IRWA Conference – Long Beach, CA, 2024 Speaker, Larger Parcel, Appraisal Institute – Northern California, 2024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Race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Right-of-Way,</w:t>
      </w:r>
      <w:r>
        <w:rPr>
          <w:color w:val="6E6158"/>
          <w:spacing w:val="7"/>
        </w:rPr>
        <w:t> </w:t>
      </w:r>
      <w:r>
        <w:rPr>
          <w:color w:val="6E6158"/>
        </w:rPr>
        <w:t>IRWA</w:t>
      </w:r>
      <w:r>
        <w:rPr>
          <w:color w:val="6E6158"/>
          <w:spacing w:val="7"/>
        </w:rPr>
        <w:t> </w:t>
      </w:r>
      <w:r>
        <w:rPr>
          <w:color w:val="6E6158"/>
        </w:rPr>
        <w:t>Education</w:t>
      </w:r>
      <w:r>
        <w:rPr>
          <w:color w:val="6E6158"/>
          <w:spacing w:val="7"/>
        </w:rPr>
        <w:t> </w:t>
      </w:r>
      <w:r>
        <w:rPr>
          <w:color w:val="6E6158"/>
        </w:rPr>
        <w:t>Conference</w:t>
      </w:r>
      <w:r>
        <w:rPr>
          <w:color w:val="6E6158"/>
          <w:spacing w:val="7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</w:rPr>
        <w:t>Denver,</w:t>
      </w:r>
      <w:r>
        <w:rPr>
          <w:color w:val="6E6158"/>
          <w:spacing w:val="7"/>
        </w:rPr>
        <w:t> </w:t>
      </w:r>
      <w:r>
        <w:rPr>
          <w:color w:val="6E6158"/>
        </w:rPr>
        <w:t>CO,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1952" id="docshape3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Cases of Consequence: Highlights of Authorities for Testifying Appraisers, </w:t>
      </w:r>
      <w:r>
        <w:rPr>
          <w:color w:val="6E6158"/>
        </w:rPr>
        <w:t>Appraisal Institute Spring Conference,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pt;width:1.65pt;height:1.65pt;mso-position-horizontal-relative:page;mso-position-vertical-relative:paragraph;z-index:15742464" id="docshape3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</w:t>
      </w:r>
      <w:r>
        <w:rPr>
          <w:color w:val="6E6158"/>
          <w:spacing w:val="7"/>
        </w:rPr>
        <w:t> </w:t>
      </w:r>
      <w:r>
        <w:rPr>
          <w:color w:val="6E6158"/>
        </w:rPr>
        <w:t>/</w:t>
      </w:r>
      <w:r>
        <w:rPr>
          <w:color w:val="6E6158"/>
          <w:spacing w:val="8"/>
        </w:rPr>
        <w:t> </w:t>
      </w:r>
      <w:r>
        <w:rPr>
          <w:color w:val="6E6158"/>
        </w:rPr>
        <w:t>Organizer,</w:t>
      </w:r>
      <w:r>
        <w:rPr>
          <w:color w:val="6E6158"/>
          <w:spacing w:val="8"/>
        </w:rPr>
        <w:t> </w:t>
      </w:r>
      <w:r>
        <w:rPr>
          <w:color w:val="6E6158"/>
        </w:rPr>
        <w:t>IRWA</w:t>
      </w:r>
      <w:r>
        <w:rPr>
          <w:color w:val="6E6158"/>
          <w:spacing w:val="7"/>
        </w:rPr>
        <w:t> </w:t>
      </w:r>
      <w:r>
        <w:rPr>
          <w:color w:val="6E6158"/>
        </w:rPr>
        <w:t>Region</w:t>
      </w:r>
      <w:r>
        <w:rPr>
          <w:color w:val="6E6158"/>
          <w:spacing w:val="8"/>
        </w:rPr>
        <w:t> </w:t>
      </w:r>
      <w:r>
        <w:rPr>
          <w:color w:val="6E6158"/>
        </w:rPr>
        <w:t>1,</w:t>
      </w:r>
      <w:r>
        <w:rPr>
          <w:color w:val="6E6158"/>
          <w:spacing w:val="8"/>
        </w:rPr>
        <w:t> </w:t>
      </w:r>
      <w:r>
        <w:rPr>
          <w:color w:val="6E6158"/>
        </w:rPr>
        <w:t>Spring</w:t>
      </w:r>
      <w:r>
        <w:rPr>
          <w:color w:val="6E6158"/>
          <w:spacing w:val="7"/>
        </w:rPr>
        <w:t> </w:t>
      </w:r>
      <w:r>
        <w:rPr>
          <w:color w:val="6E6158"/>
        </w:rPr>
        <w:t>Forum,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7" w:lineRule="auto" w:before="174"/>
        <w:ind w:right="3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356002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1704pt;width:1.65pt;height:1.65pt;mso-position-horizontal-relative:page;mso-position-vertical-relative:paragraph;z-index:15742976" id="docshape34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“Eminent Domain – Annual Legal Update – International Right of Way Association”, Chapter Two Luncheon; International Right of Way Association, Chapter 42 Luncheon, </w:t>
      </w:r>
      <w:r>
        <w:rPr>
          <w:color w:val="6E6158"/>
        </w:rPr>
        <w:t>2021- </w:t>
      </w:r>
      <w:r>
        <w:rPr>
          <w:color w:val="6E6158"/>
          <w:spacing w:val="-4"/>
        </w:rPr>
        <w:t>2025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134450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6615pt;width:1.65pt;height:1.65pt;mso-position-horizontal-relative:page;mso-position-vertical-relative:paragraph;z-index:15743488" id="docshape35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7"/>
        </w:rPr>
        <w:t> </w:t>
      </w:r>
      <w:r>
        <w:rPr>
          <w:color w:val="6E6158"/>
        </w:rPr>
        <w:t>“Bizwomen</w:t>
      </w:r>
      <w:r>
        <w:rPr>
          <w:color w:val="6E6158"/>
          <w:spacing w:val="17"/>
        </w:rPr>
        <w:t> </w:t>
      </w:r>
      <w:r>
        <w:rPr>
          <w:color w:val="6E6158"/>
        </w:rPr>
        <w:t>Mentoring</w:t>
      </w:r>
      <w:r>
        <w:rPr>
          <w:color w:val="6E6158"/>
          <w:spacing w:val="17"/>
        </w:rPr>
        <w:t> </w:t>
      </w:r>
      <w:r>
        <w:rPr>
          <w:color w:val="6E6158"/>
        </w:rPr>
        <w:t>Monday,”</w:t>
      </w:r>
      <w:r>
        <w:rPr>
          <w:color w:val="6E6158"/>
          <w:spacing w:val="18"/>
        </w:rPr>
        <w:t> </w:t>
      </w:r>
      <w:r>
        <w:rPr>
          <w:color w:val="6E6158"/>
        </w:rPr>
        <w:t>San</w:t>
      </w:r>
      <w:r>
        <w:rPr>
          <w:color w:val="6E6158"/>
          <w:spacing w:val="17"/>
        </w:rPr>
        <w:t> </w:t>
      </w:r>
      <w:r>
        <w:rPr>
          <w:color w:val="6E6158"/>
        </w:rPr>
        <w:t>Francisco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Times,</w:t>
      </w:r>
      <w:r>
        <w:rPr>
          <w:color w:val="6E6158"/>
          <w:spacing w:val="18"/>
        </w:rPr>
        <w:t> </w:t>
      </w:r>
      <w:r>
        <w:rPr>
          <w:color w:val="6E6158"/>
        </w:rPr>
        <w:t>February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262971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6408pt;width:1.65pt;height:1.65pt;mso-position-horizontal-relative:page;mso-position-vertical-relative:paragraph;z-index:15744000" id="docshape3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“Influential Women 2022: Robin Thornton of Fennemore Wendel,” San </w:t>
      </w:r>
      <w:r>
        <w:rPr>
          <w:color w:val="6E6158"/>
        </w:rPr>
        <w:t>Francisco Business Times, October 13, 2022</w:t>
      </w:r>
    </w:p>
    <w:p>
      <w:pPr>
        <w:pStyle w:val="BodyText"/>
        <w:spacing w:line="292" w:lineRule="auto" w:before="131"/>
        <w:ind w:righ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235931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255pt;width:1.65pt;height:1.65pt;mso-position-horizontal-relative:page;mso-position-vertical-relative:paragraph;z-index:15744512" id="docshape37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Most Injurious Use: Ways to Use It, Abuse It, and What the Courts Are Saying About It, CLE Eminent Domain Conference, San Francisco, 2022</w:t>
      </w:r>
    </w:p>
    <w:p>
      <w:pPr>
        <w:pStyle w:val="BodyText"/>
        <w:spacing w:line="292" w:lineRule="auto" w:before="124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231028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1231pt;width:1.65pt;height:1.65pt;mso-position-horizontal-relative:page;mso-position-vertical-relative:paragraph;z-index:15745024" id="docshape3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“What’s Mine May be Yours: An Introduction to Real Property Transfers,” Wendel Rosen Webinar, 2021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142726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329pt;width:1.65pt;height:1.65pt;mso-position-horizontal-relative:page;mso-position-vertical-relative:paragraph;z-index:15745536" id="docshape3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3"/>
        </w:rPr>
        <w:t> </w:t>
      </w:r>
      <w:r>
        <w:rPr>
          <w:color w:val="6E6158"/>
        </w:rPr>
        <w:t>“An</w:t>
      </w:r>
      <w:r>
        <w:rPr>
          <w:color w:val="6E6158"/>
          <w:spacing w:val="14"/>
        </w:rPr>
        <w:t> </w:t>
      </w:r>
      <w:r>
        <w:rPr>
          <w:color w:val="6E6158"/>
        </w:rPr>
        <w:t>Introduction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Easements,”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Counsels’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262993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122pt;width:1.65pt;height:1.65pt;mso-position-horizontal-relative:page;mso-position-vertical-relative:paragraph;z-index:15746048" id="docshape4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Sanchez/Stamps Hearsay Rule: Saving Expert Opinions Based on Out-of-</w:t>
      </w:r>
      <w:r>
        <w:rPr>
          <w:color w:val="6E6158"/>
        </w:rPr>
        <w:t>Court Statements of Others,” Appraisal Institute, Northern California Chapter,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235952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970pt;width:1.65pt;height:1.65pt;mso-position-horizontal-relative:page;mso-position-vertical-relative:paragraph;z-index:15746560" id="docshape4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“Into the Unknown: Condemnation in the COVID-Era,” International Right of </w:t>
      </w:r>
      <w:r>
        <w:rPr>
          <w:color w:val="6E6158"/>
        </w:rPr>
        <w:t>Way Association, Chapter Two Luncheon, 2020</w:t>
      </w:r>
    </w:p>
    <w:p>
      <w:pPr>
        <w:pStyle w:val="BodyText"/>
        <w:spacing w:line="292" w:lineRule="auto" w:before="124"/>
        <w:ind w:right="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231050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942pt;width:1.65pt;height:1.65pt;mso-position-horizontal-relative:page;mso-position-vertical-relative:paragraph;z-index:15747072" id="docshape4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“Precondemnation Damages: Hidden Dangers in Project Planning,” </w:t>
      </w:r>
      <w:r>
        <w:rPr>
          <w:color w:val="6E6158"/>
        </w:rPr>
        <w:t>International Right of Way Association, Chapter Two Luncheon, 2019</w:t>
      </w:r>
    </w:p>
    <w:p>
      <w:pPr>
        <w:pStyle w:val="BodyText"/>
        <w:spacing w:line="292" w:lineRule="auto" w:before="131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235760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784pt;width:1.65pt;height:1.65pt;mso-position-horizontal-relative:page;mso-position-vertical-relative:paragraph;z-index:15747584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“Property Dedications: Rough Proportionality in the Age of Trump,” CLE </w:t>
      </w:r>
      <w:r>
        <w:rPr>
          <w:color w:val="6E6158"/>
        </w:rPr>
        <w:t>Eminent Domain Conference, San Francisco, 2018</w:t>
      </w:r>
    </w:p>
    <w:p>
      <w:pPr>
        <w:pStyle w:val="BodyText"/>
        <w:spacing w:line="292" w:lineRule="auto" w:before="123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230857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767pt;width:1.65pt;height:1.65pt;mso-position-horizontal-relative:page;mso-position-vertical-relative:paragraph;z-index:15748096" id="docshape4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“Potential Impacts from Temporary Construction Easement Acquisitions,” International Right of Way Association, Annual Conference, Anchorage Alaska, </w:t>
      </w:r>
      <w:r>
        <w:rPr>
          <w:color w:val="6E6158"/>
        </w:rPr>
        <w:t>2017</w:t>
      </w:r>
    </w:p>
    <w:p>
      <w:pPr>
        <w:pStyle w:val="BodyText"/>
        <w:spacing w:line="290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236202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621pt;width:1.65pt;height:1.65pt;mso-position-horizontal-relative:page;mso-position-vertical-relative:paragraph;z-index:15748608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“Precondemnation Offers / Appraisals: Right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of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Way / Legal Strategies for </w:t>
      </w:r>
      <w:r>
        <w:rPr>
          <w:color w:val="6E6158"/>
        </w:rPr>
        <w:t>Successful Project</w:t>
      </w:r>
      <w:r>
        <w:rPr>
          <w:color w:val="6E6158"/>
          <w:spacing w:val="36"/>
        </w:rPr>
        <w:t> </w:t>
      </w:r>
      <w:r>
        <w:rPr>
          <w:color w:val="6E6158"/>
        </w:rPr>
        <w:t>Delivery,”</w:t>
      </w:r>
      <w:r>
        <w:rPr>
          <w:color w:val="6E6158"/>
          <w:spacing w:val="36"/>
        </w:rPr>
        <w:t> </w:t>
      </w:r>
      <w:r>
        <w:rPr>
          <w:color w:val="6E6158"/>
        </w:rPr>
        <w:t>International</w:t>
      </w:r>
      <w:r>
        <w:rPr>
          <w:color w:val="6E6158"/>
          <w:spacing w:val="36"/>
        </w:rPr>
        <w:t> </w:t>
      </w:r>
      <w:r>
        <w:rPr>
          <w:color w:val="6E6158"/>
        </w:rPr>
        <w:t>Right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Way</w:t>
      </w:r>
      <w:r>
        <w:rPr>
          <w:color w:val="6E6158"/>
          <w:spacing w:val="36"/>
        </w:rPr>
        <w:t> </w:t>
      </w:r>
      <w:r>
        <w:rPr>
          <w:color w:val="6E6158"/>
        </w:rPr>
        <w:t>Association,</w:t>
      </w:r>
      <w:r>
        <w:rPr>
          <w:color w:val="6E6158"/>
          <w:spacing w:val="36"/>
        </w:rPr>
        <w:t> </w:t>
      </w:r>
      <w:r>
        <w:rPr>
          <w:color w:val="6E6158"/>
        </w:rPr>
        <w:t>Chapter</w:t>
      </w:r>
      <w:r>
        <w:rPr>
          <w:color w:val="6E6158"/>
          <w:spacing w:val="36"/>
        </w:rPr>
        <w:t> </w:t>
      </w:r>
      <w:r>
        <w:rPr>
          <w:color w:val="6E6158"/>
        </w:rPr>
        <w:t>Two</w:t>
      </w:r>
      <w:r>
        <w:rPr>
          <w:color w:val="6E6158"/>
          <w:spacing w:val="36"/>
        </w:rPr>
        <w:t> </w:t>
      </w:r>
      <w:r>
        <w:rPr>
          <w:color w:val="6E6158"/>
        </w:rPr>
        <w:t>Luncheon,</w:t>
      </w:r>
      <w:r>
        <w:rPr>
          <w:color w:val="6E6158"/>
          <w:spacing w:val="36"/>
        </w:rPr>
        <w:t> </w:t>
      </w:r>
      <w:r>
        <w:rPr>
          <w:color w:val="6E6158"/>
        </w:rPr>
        <w:t>2017</w:t>
      </w:r>
    </w:p>
    <w:p>
      <w:pPr>
        <w:pStyle w:val="BodyText"/>
        <w:spacing w:line="295" w:lineRule="auto" w:before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324749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70864pt;width:1.65pt;height:1.65pt;mso-position-horizontal-relative:page;mso-position-vertical-relative:paragraph;z-index:15749120" id="docshape46" coordorigin="1675,511" coordsize="33,33" path="m1696,544l1687,544,1683,542,1676,536,1675,532,1675,523,1676,519,1683,513,1687,511,1696,511,1699,513,1706,519,1707,523,1707,528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“Front End Issues and the Right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of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Way Process: An Introduction to Precondemnation Appraisal and a Case Study on Identification of Early Issues,” Appraisal Institute Fall Litigation</w:t>
      </w:r>
      <w:r>
        <w:rPr>
          <w:color w:val="6E6158"/>
          <w:spacing w:val="40"/>
        </w:rPr>
        <w:t> </w:t>
      </w:r>
      <w:r>
        <w:rPr>
          <w:color w:val="6E6158"/>
        </w:rPr>
        <w:t>Conference, San Francisco, 2017</w:t>
      </w:r>
    </w:p>
    <w:p>
      <w:pPr>
        <w:pStyle w:val="Heading1"/>
        <w:spacing w:before="16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157814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373pt;width:1.65pt;height:1.65pt;mso-position-horizontal-relative:page;mso-position-vertical-relative:paragraph;z-index:15749632" id="docshape47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416180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115pt;width:1.65pt;height:1.65pt;mso-position-horizontal-relative:page;mso-position-vertical-relative:paragraph;z-index:15750144" id="docshape4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 and Contra Costa County Bar </w:t>
      </w:r>
      <w:r>
        <w:rPr>
          <w:color w:val="6E6158"/>
        </w:rPr>
        <w:t>Association Treasurer and Inns of Court, International Right of Way Association (IRWA)</w:t>
      </w:r>
    </w:p>
    <w:p>
      <w:pPr>
        <w:pStyle w:val="BodyText"/>
        <w:spacing w:line="420" w:lineRule="auto" w:before="6"/>
        <w:ind w:right="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63460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891pt;width:1.65pt;height:1.65pt;mso-position-horizontal-relative:page;mso-position-vertical-relative:paragraph;z-index:15750656" id="docshape49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321826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0635pt;width:1.65pt;height:1.65pt;mso-position-horizontal-relative:page;mso-position-vertical-relative:paragraph;z-index:15751168" id="docshape5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Board, International Right of Way Association (IRWA), Chapter Two, 2020-2023 Inns of Court (past member)</w:t>
      </w:r>
    </w:p>
    <w:p>
      <w:pPr>
        <w:pStyle w:val="Heading1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157736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158pt;width:1.65pt;height:1.65pt;mso-position-horizontal-relative:page;mso-position-vertical-relative:paragraph;z-index:15751680" id="docshape5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174830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96pt;width:1.65pt;height:1.65pt;mso-position-horizontal-relative:page;mso-position-vertical-relative:paragraph;z-index:15752192" id="docshape5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175415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258pt;width:1.65pt;height:1.65pt;mso-position-horizontal-relative:page;mso-position-vertical-relative:paragraph;z-index:15752704" id="docshape5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56" w:hanging="173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color w:val="6E6158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1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275" w:hanging="171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oakland/" TargetMode="External"/><Relationship Id="rId7" Type="http://schemas.openxmlformats.org/officeDocument/2006/relationships/hyperlink" Target="mailto:rthornton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2025-02-28T17:58:06Z</dcterms:created>
  <dcterms:modified xsi:type="dcterms:W3CDTF">2025-02-28T17:58:06Z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ConvertAPI</vt:lpwstr>
  </property>
</Properties>
</file>