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9"/>
        </w:rPr>
      </w:pPr>
    </w:p>
    <w:p>
      <w:pPr>
        <w:pStyle w:val="BodyText"/>
        <w:spacing w:before="344"/>
        <w:rPr>
          <w:rFonts w:ascii="Times New Roman"/>
          <w:sz w:val="39"/>
        </w:rPr>
      </w:pPr>
    </w:p>
    <w:p>
      <w:pPr>
        <w:spacing w:line="216" w:lineRule="auto" w:before="1"/>
        <w:ind w:left="5465" w:right="690" w:firstLine="0"/>
        <w:jc w:val="center"/>
        <w:rPr>
          <w:sz w:val="39"/>
        </w:rPr>
      </w:pPr>
      <w:r>
        <w:rPr>
          <w:color w:val="FFFFFF"/>
          <w:sz w:val="39"/>
        </w:rPr>
        <w:t>STEVEN</w:t>
      </w:r>
      <w:r>
        <w:rPr>
          <w:color w:val="FFFFFF"/>
          <w:spacing w:val="-27"/>
          <w:sz w:val="39"/>
        </w:rPr>
        <w:t> </w:t>
      </w:r>
      <w:r>
        <w:rPr>
          <w:color w:val="FFFFFF"/>
          <w:sz w:val="39"/>
        </w:rPr>
        <w:t>D. </w:t>
      </w:r>
      <w:r>
        <w:rPr>
          <w:color w:val="FFFFFF"/>
          <w:spacing w:val="-2"/>
          <w:sz w:val="39"/>
        </w:rPr>
        <w:t>MCGEE</w:t>
      </w:r>
    </w:p>
    <w:p>
      <w:pPr>
        <w:spacing w:before="48"/>
        <w:ind w:left="5465" w:right="693" w:firstLine="0"/>
        <w:jc w:val="center"/>
        <w:rPr>
          <w:sz w:val="24"/>
        </w:rPr>
      </w:pPr>
      <w:r>
        <w:rPr>
          <w:color w:val="FFFFFF"/>
          <w:spacing w:val="-2"/>
          <w:sz w:val="24"/>
        </w:rPr>
        <w:t>Director</w:t>
      </w:r>
    </w:p>
    <w:p>
      <w:pPr>
        <w:spacing w:before="291"/>
        <w:ind w:left="5465" w:right="693" w:firstLine="0"/>
        <w:jc w:val="center"/>
        <w:rPr>
          <w:sz w:val="16"/>
        </w:rPr>
      </w:pPr>
      <w:hyperlink r:id="rId5">
        <w:r>
          <w:rPr>
            <w:color w:val="FFFFFF"/>
            <w:sz w:val="16"/>
          </w:rPr>
          <w:t>Business</w:t>
        </w:r>
        <w:r>
          <w:rPr>
            <w:color w:val="FFFFFF"/>
            <w:spacing w:val="6"/>
            <w:sz w:val="16"/>
          </w:rPr>
          <w:t> </w:t>
        </w:r>
        <w:r>
          <w:rPr>
            <w:color w:val="FFFFFF"/>
            <w:spacing w:val="-2"/>
            <w:sz w:val="16"/>
          </w:rPr>
          <w:t>Litigation</w:t>
        </w:r>
      </w:hyperlink>
    </w:p>
    <w:p>
      <w:pPr>
        <w:pStyle w:val="BodyText"/>
        <w:spacing w:before="82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2"/>
        <w:rPr>
          <w:sz w:val="24"/>
        </w:rPr>
      </w:pPr>
    </w:p>
    <w:p>
      <w:pPr>
        <w:pStyle w:val="Heading1"/>
      </w:pPr>
      <w:r>
        <w:rPr>
          <w:color w:val="002E6B"/>
        </w:rPr>
        <w:t>STEVEN</w:t>
      </w:r>
      <w:r>
        <w:rPr>
          <w:color w:val="002E6B"/>
          <w:spacing w:val="9"/>
        </w:rPr>
        <w:t> </w:t>
      </w:r>
      <w:r>
        <w:rPr>
          <w:color w:val="002E6B"/>
          <w:spacing w:val="-70"/>
        </w:rPr>
        <w:t>D</w:t>
      </w:r>
      <w:r>
        <w:rPr>
          <w:b w:val="0"/>
          <w:color w:val="FFFFFF"/>
          <w:spacing w:val="-662"/>
          <w:w w:val="99"/>
          <w:position w:val="15"/>
          <w:sz w:val="145"/>
        </w:rPr>
        <w:t>“</w:t>
      </w:r>
      <w:r>
        <w:rPr>
          <w:color w:val="002E6B"/>
        </w:rPr>
        <w:t>.</w:t>
      </w:r>
      <w:r>
        <w:rPr>
          <w:color w:val="002E6B"/>
          <w:spacing w:val="10"/>
        </w:rPr>
        <w:t> </w:t>
      </w:r>
      <w:r>
        <w:rPr>
          <w:color w:val="002E6B"/>
          <w:spacing w:val="-2"/>
        </w:rPr>
        <w:t>MCGEE</w:t>
      </w:r>
    </w:p>
    <w:p>
      <w:pPr>
        <w:spacing w:before="103"/>
        <w:ind w:left="2272" w:right="0" w:firstLine="0"/>
        <w:jc w:val="center"/>
        <w:rPr>
          <w:sz w:val="16"/>
        </w:rPr>
      </w:pPr>
      <w:r>
        <w:rPr/>
        <w:br w:type="column"/>
      </w:r>
      <w:hyperlink r:id="rId6">
        <w:r>
          <w:rPr>
            <w:color w:val="FFFFFF"/>
            <w:spacing w:val="-2"/>
            <w:sz w:val="16"/>
          </w:rPr>
          <w:t>Fresno</w:t>
        </w:r>
      </w:hyperlink>
    </w:p>
    <w:p>
      <w:pPr>
        <w:tabs>
          <w:tab w:pos="4112" w:val="left" w:leader="none"/>
        </w:tabs>
        <w:spacing w:before="54"/>
        <w:ind w:left="2272" w:right="0" w:firstLine="0"/>
        <w:jc w:val="center"/>
        <w:rPr>
          <w:sz w:val="17"/>
        </w:rPr>
      </w:pPr>
      <w:r>
        <w:rPr>
          <w:color w:val="FFFFFF"/>
          <w:sz w:val="17"/>
        </w:rPr>
        <w:t>P: </w:t>
      </w:r>
      <w:r>
        <w:rPr>
          <w:color w:val="FFFFFF"/>
          <w:spacing w:val="-2"/>
          <w:sz w:val="17"/>
        </w:rPr>
        <w:t>559.432.4500</w:t>
      </w:r>
      <w:r>
        <w:rPr>
          <w:color w:val="FFFFFF"/>
          <w:sz w:val="17"/>
        </w:rPr>
        <w:tab/>
        <w:t>F:</w:t>
      </w:r>
      <w:r>
        <w:rPr>
          <w:color w:val="FFFFFF"/>
          <w:spacing w:val="-2"/>
          <w:sz w:val="17"/>
        </w:rPr>
        <w:t> 559.432.4590</w:t>
      </w:r>
    </w:p>
    <w:p>
      <w:pPr>
        <w:spacing w:before="119"/>
        <w:ind w:left="2272" w:right="0" w:firstLine="0"/>
        <w:jc w:val="center"/>
        <w:rPr>
          <w:sz w:val="16"/>
        </w:rPr>
      </w:pPr>
      <w:hyperlink r:id="rId7">
        <w:r>
          <w:rPr>
            <w:color w:val="FFFFFF"/>
            <w:spacing w:val="-2"/>
            <w:sz w:val="16"/>
          </w:rPr>
          <w:t>smcgee@fennemorelaw.com</w:t>
        </w:r>
      </w:hyperlink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6"/>
        </w:rPr>
      </w:pPr>
    </w:p>
    <w:p>
      <w:pPr>
        <w:tabs>
          <w:tab w:pos="5046" w:val="left" w:leader="none"/>
        </w:tabs>
        <w:spacing w:before="1"/>
        <w:ind w:left="104" w:right="0" w:firstLine="0"/>
        <w:jc w:val="left"/>
        <w:rPr>
          <w:position w:val="-89"/>
          <w:sz w:val="145"/>
        </w:rPr>
      </w:pPr>
      <w:r>
        <w:rPr>
          <w:color w:val="FFFFFF"/>
          <w:spacing w:val="-4"/>
          <w:sz w:val="16"/>
        </w:rPr>
        <w:t>Listen,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4"/>
          <w:sz w:val="16"/>
        </w:rPr>
        <w:t>learn,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4"/>
          <w:sz w:val="16"/>
        </w:rPr>
        <w:t>solve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4"/>
          <w:sz w:val="16"/>
        </w:rPr>
        <w:t>the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4"/>
          <w:sz w:val="16"/>
        </w:rPr>
        <w:t>problem.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Always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4"/>
          <w:sz w:val="16"/>
        </w:rPr>
        <w:t>act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4"/>
          <w:sz w:val="16"/>
        </w:rPr>
        <w:t>with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4"/>
          <w:sz w:val="16"/>
        </w:rPr>
        <w:t>integrity.</w:t>
      </w:r>
      <w:r>
        <w:rPr>
          <w:color w:val="FFFFFF"/>
          <w:sz w:val="16"/>
        </w:rPr>
        <w:tab/>
      </w:r>
      <w:r>
        <w:rPr>
          <w:color w:val="FFFFFF"/>
          <w:spacing w:val="-10"/>
          <w:position w:val="-89"/>
          <w:sz w:val="145"/>
        </w:rPr>
        <w:t>”</w:t>
      </w:r>
    </w:p>
    <w:p>
      <w:pPr>
        <w:spacing w:after="0"/>
        <w:jc w:val="left"/>
        <w:rPr>
          <w:position w:val="-89"/>
          <w:sz w:val="145"/>
        </w:rPr>
        <w:sectPr>
          <w:type w:val="continuous"/>
          <w:pgSz w:w="12240" w:h="15840"/>
          <w:pgMar w:top="560" w:bottom="280" w:left="1440" w:right="1440"/>
          <w:cols w:num="2" w:equalWidth="0">
            <w:col w:w="2225" w:space="275"/>
            <w:col w:w="6860"/>
          </w:cols>
        </w:sectPr>
      </w:pPr>
    </w:p>
    <w:p>
      <w:pPr>
        <w:pStyle w:val="BodyText"/>
        <w:spacing w:line="297" w:lineRule="auto" w:before="21"/>
        <w:ind w:left="104" w:right="40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3328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2995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299585"/>
                          <a:chExt cx="6066790" cy="42995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137285">
                                <a:moveTo>
                                  <a:pt x="6066424" y="1136808"/>
                                </a:moveTo>
                                <a:lnTo>
                                  <a:pt x="0" y="1136808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136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9"/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38.55pt;mso-position-horizontal-relative:page;mso-position-vertical-relative:page;z-index:-15793152" id="docshapegroup1" coordorigin="1341,560" coordsize="9554,6771">
                <v:rect style="position:absolute;left:1341;top:5540;width:9554;height:1791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8" o:title=""/>
                </v:shape>
                <v:shape style="position:absolute;left:1341;top:983;width:4777;height:4557" type="#_x0000_t75" id="docshape4" stroked="false">
                  <v:imagedata r:id="rId10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6E6158"/>
        </w:rPr>
        <w:t>Steven McGee is a business trial lawyer and the managing partner of our Fresno office. His</w:t>
      </w:r>
      <w:r>
        <w:rPr>
          <w:color w:val="6E6158"/>
          <w:spacing w:val="40"/>
        </w:rPr>
        <w:t> </w:t>
      </w:r>
      <w:r>
        <w:rPr>
          <w:color w:val="6E6158"/>
        </w:rPr>
        <w:t>practice includes a wide range of commercial and real estate matters, with substantial</w:t>
      </w:r>
      <w:r>
        <w:rPr>
          <w:color w:val="6E6158"/>
          <w:spacing w:val="40"/>
        </w:rPr>
        <w:t> </w:t>
      </w:r>
      <w:r>
        <w:rPr>
          <w:color w:val="6E6158"/>
        </w:rPr>
        <w:t>emphasis</w:t>
      </w:r>
      <w:r>
        <w:rPr>
          <w:color w:val="6E6158"/>
          <w:spacing w:val="16"/>
        </w:rPr>
        <w:t> </w:t>
      </w:r>
      <w:r>
        <w:rPr>
          <w:color w:val="6E6158"/>
        </w:rPr>
        <w:t>on</w:t>
      </w:r>
      <w:r>
        <w:rPr>
          <w:color w:val="6E6158"/>
          <w:spacing w:val="16"/>
        </w:rPr>
        <w:t> </w:t>
      </w:r>
      <w:r>
        <w:rPr>
          <w:color w:val="6E6158"/>
        </w:rPr>
        <w:t>construction,</w:t>
      </w:r>
      <w:r>
        <w:rPr>
          <w:color w:val="6E6158"/>
          <w:spacing w:val="16"/>
        </w:rPr>
        <w:t> </w:t>
      </w:r>
      <w:r>
        <w:rPr>
          <w:color w:val="6E6158"/>
        </w:rPr>
        <w:t>real</w:t>
      </w:r>
      <w:r>
        <w:rPr>
          <w:color w:val="6E6158"/>
          <w:spacing w:val="16"/>
        </w:rPr>
        <w:t> </w:t>
      </w:r>
      <w:r>
        <w:rPr>
          <w:color w:val="6E6158"/>
        </w:rPr>
        <w:t>estate</w:t>
      </w:r>
      <w:r>
        <w:rPr>
          <w:color w:val="6E6158"/>
          <w:spacing w:val="16"/>
        </w:rPr>
        <w:t> </w:t>
      </w:r>
      <w:r>
        <w:rPr>
          <w:color w:val="6E6158"/>
        </w:rPr>
        <w:t>issues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business</w:t>
      </w:r>
      <w:r>
        <w:rPr>
          <w:color w:val="6E6158"/>
          <w:spacing w:val="16"/>
        </w:rPr>
        <w:t> </w:t>
      </w:r>
      <w:r>
        <w:rPr>
          <w:color w:val="6E6158"/>
        </w:rPr>
        <w:t>litigation.</w:t>
      </w:r>
      <w:r>
        <w:rPr>
          <w:color w:val="6E6158"/>
          <w:spacing w:val="16"/>
        </w:rPr>
        <w:t> </w:t>
      </w:r>
      <w:r>
        <w:rPr>
          <w:color w:val="6E6158"/>
        </w:rPr>
        <w:t>His</w:t>
      </w:r>
      <w:r>
        <w:rPr>
          <w:color w:val="6E6158"/>
          <w:spacing w:val="16"/>
        </w:rPr>
        <w:t> </w:t>
      </w:r>
      <w:r>
        <w:rPr>
          <w:color w:val="6E6158"/>
        </w:rPr>
        <w:t>clients</w:t>
      </w:r>
      <w:r>
        <w:rPr>
          <w:color w:val="6E6158"/>
          <w:spacing w:val="16"/>
        </w:rPr>
        <w:t> </w:t>
      </w:r>
      <w:r>
        <w:rPr>
          <w:color w:val="6E6158"/>
        </w:rPr>
        <w:t>include</w:t>
      </w:r>
      <w:r>
        <w:rPr>
          <w:color w:val="6E6158"/>
          <w:spacing w:val="16"/>
        </w:rPr>
        <w:t> </w:t>
      </w:r>
      <w:r>
        <w:rPr>
          <w:color w:val="6E6158"/>
        </w:rPr>
        <w:t>business</w:t>
      </w:r>
    </w:p>
    <w:p>
      <w:pPr>
        <w:pStyle w:val="BodyText"/>
        <w:spacing w:line="295" w:lineRule="auto"/>
        <w:ind w:left="104" w:right="373"/>
      </w:pPr>
      <w:r>
        <w:rPr>
          <w:color w:val="6E6158"/>
        </w:rPr>
        <w:t>entities, contractors, design professionals, real estate developers, and agribusiness firms. </w:t>
      </w:r>
      <w:r>
        <w:rPr>
          <w:color w:val="6E6158"/>
        </w:rPr>
        <w:t>Steven</w:t>
      </w:r>
      <w:r>
        <w:rPr>
          <w:color w:val="6E6158"/>
          <w:spacing w:val="40"/>
        </w:rPr>
        <w:t> </w:t>
      </w:r>
      <w:r>
        <w:rPr>
          <w:color w:val="6E6158"/>
        </w:rPr>
        <w:t>has over 40 years of trial experience in state and federal courts, as well as commercial and</w:t>
      </w:r>
      <w:r>
        <w:rPr>
          <w:color w:val="6E6158"/>
          <w:spacing w:val="40"/>
        </w:rPr>
        <w:t> </w:t>
      </w:r>
      <w:r>
        <w:rPr>
          <w:color w:val="6E6158"/>
        </w:rPr>
        <w:t>judicial arbitration proceedings. He is an American Arbitration Association arbitrator, serving on</w:t>
      </w:r>
      <w:r>
        <w:rPr>
          <w:color w:val="6E6158"/>
          <w:spacing w:val="80"/>
        </w:rPr>
        <w:t> </w:t>
      </w:r>
      <w:r>
        <w:rPr>
          <w:color w:val="6E6158"/>
        </w:rPr>
        <w:t>its construction industry and commercial arbitration panels.</w:t>
      </w:r>
    </w:p>
    <w:p>
      <w:pPr>
        <w:pStyle w:val="BodyText"/>
        <w:spacing w:line="297" w:lineRule="auto" w:before="193"/>
        <w:ind w:left="104" w:right="409"/>
      </w:pPr>
      <w:r>
        <w:rPr>
          <w:color w:val="6E6158"/>
        </w:rPr>
        <w:t>Steven practiced law at Dowling Aaron in Fresno before it merged with Fennemore in 2020. He</w:t>
      </w:r>
      <w:r>
        <w:rPr>
          <w:color w:val="6E6158"/>
          <w:spacing w:val="40"/>
        </w:rPr>
        <w:t> </w:t>
      </w:r>
      <w:r>
        <w:rPr>
          <w:color w:val="6E6158"/>
        </w:rPr>
        <w:t>believes clients trust him to look out for their best interests, and he takes great satisfaction in</w:t>
      </w:r>
      <w:r>
        <w:rPr>
          <w:color w:val="6E6158"/>
          <w:spacing w:val="40"/>
        </w:rPr>
        <w:t> </w:t>
      </w:r>
      <w:r>
        <w:rPr>
          <w:color w:val="6E6158"/>
        </w:rPr>
        <w:t>helping clients achieve successful resolution of pending disputes.</w:t>
      </w:r>
    </w:p>
    <w:p>
      <w:pPr>
        <w:pStyle w:val="BodyText"/>
        <w:spacing w:line="292" w:lineRule="auto" w:before="191"/>
        <w:ind w:left="104" w:right="212"/>
      </w:pPr>
      <w:r>
        <w:rPr>
          <w:color w:val="6E6158"/>
        </w:rPr>
        <w:t>Steven has been invited to be a speaker at a number of Lorman and NBI seminars where he has</w:t>
      </w:r>
      <w:r>
        <w:rPr>
          <w:color w:val="6E6158"/>
          <w:spacing w:val="40"/>
        </w:rPr>
        <w:t> </w:t>
      </w:r>
      <w:r>
        <w:rPr>
          <w:color w:val="6E6158"/>
        </w:rPr>
        <w:t>presented with local judges on trial practice and trial techniques, and has been a featured</w:t>
      </w:r>
      <w:r>
        <w:rPr>
          <w:color w:val="6E6158"/>
          <w:spacing w:val="40"/>
        </w:rPr>
        <w:t> </w:t>
      </w:r>
      <w:r>
        <w:rPr>
          <w:color w:val="6E6158"/>
        </w:rPr>
        <w:t>speaker</w:t>
      </w:r>
      <w:r>
        <w:rPr>
          <w:color w:val="6E6158"/>
          <w:spacing w:val="29"/>
        </w:rPr>
        <w:t> </w:t>
      </w:r>
      <w:r>
        <w:rPr>
          <w:color w:val="6E6158"/>
        </w:rPr>
        <w:t>on</w:t>
      </w:r>
      <w:r>
        <w:rPr>
          <w:color w:val="6E6158"/>
          <w:spacing w:val="29"/>
        </w:rPr>
        <w:t> </w:t>
      </w:r>
      <w:r>
        <w:rPr>
          <w:color w:val="6E6158"/>
        </w:rPr>
        <w:t>topics</w:t>
      </w:r>
      <w:r>
        <w:rPr>
          <w:color w:val="6E6158"/>
          <w:spacing w:val="29"/>
        </w:rPr>
        <w:t> </w:t>
      </w:r>
      <w:r>
        <w:rPr>
          <w:color w:val="6E6158"/>
        </w:rPr>
        <w:t>including</w:t>
      </w:r>
      <w:r>
        <w:rPr>
          <w:color w:val="6E6158"/>
          <w:spacing w:val="29"/>
        </w:rPr>
        <w:t> </w:t>
      </w:r>
      <w:r>
        <w:rPr>
          <w:color w:val="6E6158"/>
        </w:rPr>
        <w:t>construction</w:t>
      </w:r>
      <w:r>
        <w:rPr>
          <w:color w:val="6E6158"/>
          <w:spacing w:val="29"/>
        </w:rPr>
        <w:t> </w:t>
      </w:r>
      <w:r>
        <w:rPr>
          <w:color w:val="6E6158"/>
        </w:rPr>
        <w:t>related</w:t>
      </w:r>
      <w:r>
        <w:rPr>
          <w:color w:val="6E6158"/>
          <w:spacing w:val="29"/>
        </w:rPr>
        <w:t> </w:t>
      </w:r>
      <w:r>
        <w:rPr>
          <w:color w:val="6E6158"/>
        </w:rPr>
        <w:t>remedies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mechanics</w:t>
      </w:r>
      <w:r>
        <w:rPr>
          <w:color w:val="6E6158"/>
          <w:spacing w:val="29"/>
        </w:rPr>
        <w:t> </w:t>
      </w:r>
      <w:r>
        <w:rPr>
          <w:color w:val="6E6158"/>
        </w:rPr>
        <w:t>lien</w:t>
      </w:r>
      <w:r>
        <w:rPr>
          <w:color w:val="6E6158"/>
          <w:spacing w:val="29"/>
        </w:rPr>
        <w:t> </w:t>
      </w:r>
      <w:r>
        <w:rPr>
          <w:color w:val="6E6158"/>
        </w:rPr>
        <w:t>laws.</w:t>
      </w:r>
      <w:r>
        <w:rPr>
          <w:color w:val="6E6158"/>
          <w:spacing w:val="29"/>
        </w:rPr>
        <w:t> </w:t>
      </w:r>
      <w:r>
        <w:rPr>
          <w:color w:val="6E6158"/>
        </w:rPr>
        <w:t>He</w:t>
      </w:r>
      <w:r>
        <w:rPr>
          <w:color w:val="6E6158"/>
          <w:spacing w:val="29"/>
        </w:rPr>
        <w:t> </w:t>
      </w:r>
      <w:r>
        <w:rPr>
          <w:color w:val="6E6158"/>
        </w:rPr>
        <w:t>is</w:t>
      </w:r>
      <w:r>
        <w:rPr>
          <w:color w:val="6E6158"/>
          <w:spacing w:val="29"/>
        </w:rPr>
        <w:t> </w:t>
      </w:r>
      <w:r>
        <w:rPr>
          <w:color w:val="6E6158"/>
        </w:rPr>
        <w:t>an “AV” rated attorney by Martindale-Hubble and was selected for inclusion in the Northern</w:t>
      </w:r>
      <w:r>
        <w:rPr>
          <w:color w:val="6E6158"/>
          <w:spacing w:val="40"/>
        </w:rPr>
        <w:t> </w:t>
      </w:r>
      <w:r>
        <w:rPr>
          <w:color w:val="6E6158"/>
        </w:rPr>
        <w:t>California </w:t>
      </w:r>
      <w:r>
        <w:rPr>
          <w:i/>
          <w:color w:val="6E6158"/>
          <w:sz w:val="20"/>
        </w:rPr>
        <w:t>Super Lawyers® </w:t>
      </w:r>
      <w:r>
        <w:rPr>
          <w:color w:val="6E6158"/>
        </w:rPr>
        <w:t>list (2006 through present), and a </w:t>
      </w:r>
      <w:r>
        <w:rPr>
          <w:i/>
          <w:color w:val="6E6158"/>
          <w:sz w:val="20"/>
        </w:rPr>
        <w:t>Super Lawyers® </w:t>
      </w:r>
      <w:r>
        <w:rPr>
          <w:color w:val="6E6158"/>
        </w:rPr>
        <w:t>Top 100 Attorney in Northern California from 2008 through 2019.</w:t>
      </w:r>
    </w:p>
    <w:p>
      <w:pPr>
        <w:pStyle w:val="BodyText"/>
        <w:spacing w:line="292" w:lineRule="auto" w:before="201"/>
        <w:ind w:left="104" w:right="373"/>
      </w:pPr>
      <w:r>
        <w:rPr>
          <w:color w:val="6E6158"/>
        </w:rPr>
        <w:t>Steven is married with five adult children, and he enjoys spending time with extended family,</w:t>
      </w:r>
      <w:r>
        <w:rPr>
          <w:color w:val="6E6158"/>
          <w:spacing w:val="40"/>
        </w:rPr>
        <w:t> </w:t>
      </w:r>
      <w:r>
        <w:rPr>
          <w:color w:val="6E6158"/>
        </w:rPr>
        <w:t>traveling,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is</w:t>
      </w:r>
      <w:r>
        <w:rPr>
          <w:color w:val="6E6158"/>
          <w:spacing w:val="25"/>
        </w:rPr>
        <w:t> </w:t>
      </w:r>
      <w:r>
        <w:rPr>
          <w:color w:val="6E6158"/>
        </w:rPr>
        <w:t>an</w:t>
      </w:r>
      <w:r>
        <w:rPr>
          <w:color w:val="6E6158"/>
          <w:spacing w:val="25"/>
        </w:rPr>
        <w:t> </w:t>
      </w:r>
      <w:r>
        <w:rPr>
          <w:color w:val="6E6158"/>
        </w:rPr>
        <w:t>avid</w:t>
      </w:r>
      <w:r>
        <w:rPr>
          <w:color w:val="6E6158"/>
          <w:spacing w:val="25"/>
        </w:rPr>
        <w:t> </w:t>
      </w:r>
      <w:r>
        <w:rPr>
          <w:color w:val="6E6158"/>
        </w:rPr>
        <w:t>San</w:t>
      </w:r>
      <w:r>
        <w:rPr>
          <w:color w:val="6E6158"/>
          <w:spacing w:val="25"/>
        </w:rPr>
        <w:t> </w:t>
      </w:r>
      <w:r>
        <w:rPr>
          <w:color w:val="6E6158"/>
        </w:rPr>
        <w:t>Francisco</w:t>
      </w:r>
      <w:r>
        <w:rPr>
          <w:color w:val="6E6158"/>
          <w:spacing w:val="25"/>
        </w:rPr>
        <w:t> </w:t>
      </w:r>
      <w:r>
        <w:rPr>
          <w:color w:val="6E6158"/>
        </w:rPr>
        <w:t>Giants</w:t>
      </w:r>
      <w:r>
        <w:rPr>
          <w:color w:val="6E6158"/>
          <w:spacing w:val="25"/>
        </w:rPr>
        <w:t> </w:t>
      </w:r>
      <w:r>
        <w:rPr>
          <w:color w:val="6E6158"/>
        </w:rPr>
        <w:t>fan.</w:t>
      </w:r>
      <w:r>
        <w:rPr>
          <w:color w:val="6E6158"/>
          <w:spacing w:val="25"/>
        </w:rPr>
        <w:t> </w:t>
      </w:r>
      <w:r>
        <w:rPr>
          <w:color w:val="6E6158"/>
        </w:rPr>
        <w:t>He</w:t>
      </w:r>
      <w:r>
        <w:rPr>
          <w:color w:val="6E6158"/>
          <w:spacing w:val="25"/>
        </w:rPr>
        <w:t> </w:t>
      </w:r>
      <w:r>
        <w:rPr>
          <w:color w:val="6E6158"/>
        </w:rPr>
        <w:t>supports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number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local</w:t>
      </w:r>
      <w:r>
        <w:rPr>
          <w:color w:val="6E6158"/>
          <w:spacing w:val="25"/>
        </w:rPr>
        <w:t> </w:t>
      </w:r>
      <w:r>
        <w:rPr>
          <w:color w:val="6E6158"/>
        </w:rPr>
        <w:t>charities</w:t>
      </w:r>
    </w:p>
    <w:p>
      <w:pPr>
        <w:pStyle w:val="BodyText"/>
        <w:spacing w:line="292" w:lineRule="auto" w:before="1"/>
        <w:ind w:left="104" w:right="409"/>
      </w:pPr>
      <w:r>
        <w:rPr>
          <w:color w:val="6E6158"/>
        </w:rPr>
        <w:t>including the Central California Food Bank, Fresno Mission, and the National Alliance on </w:t>
      </w:r>
      <w:r>
        <w:rPr>
          <w:color w:val="6E6158"/>
        </w:rPr>
        <w:t>Mental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Illness.</w:t>
      </w:r>
    </w:p>
    <w:p>
      <w:pPr>
        <w:pStyle w:val="Heading1"/>
        <w:spacing w:before="170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152897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9206pt;width:1.65pt;height:1.65pt;mso-position-horizontal-relative:page;mso-position-vertical-relative:paragraph;z-index:15729152" id="docshape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9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San</w:t>
      </w:r>
      <w:r>
        <w:rPr>
          <w:color w:val="6E6158"/>
          <w:spacing w:val="10"/>
        </w:rPr>
        <w:t> </w:t>
      </w:r>
      <w:r>
        <w:rPr>
          <w:color w:val="6E6158"/>
        </w:rPr>
        <w:t>Diego</w:t>
      </w:r>
      <w:r>
        <w:rPr>
          <w:color w:val="6E6158"/>
          <w:spacing w:val="10"/>
        </w:rPr>
        <w:t> </w:t>
      </w:r>
      <w:r>
        <w:rPr>
          <w:color w:val="6E6158"/>
        </w:rPr>
        <w:t>School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29664" id="docshape8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7"/>
        </w:rPr>
        <w:t> </w:t>
      </w:r>
      <w:r>
        <w:rPr>
          <w:color w:val="6E6158"/>
        </w:rPr>
        <w:t>Business</w:t>
      </w:r>
      <w:r>
        <w:rPr>
          <w:color w:val="6E6158"/>
          <w:spacing w:val="17"/>
        </w:rPr>
        <w:t> </w:t>
      </w:r>
      <w:r>
        <w:rPr>
          <w:color w:val="6E6158"/>
        </w:rPr>
        <w:t>Administration,</w:t>
      </w:r>
      <w:r>
        <w:rPr>
          <w:color w:val="6E6158"/>
          <w:spacing w:val="18"/>
        </w:rPr>
        <w:t> </w:t>
      </w:r>
      <w:r>
        <w:rPr>
          <w:color w:val="6E6158"/>
        </w:rPr>
        <w:t>California</w:t>
      </w:r>
      <w:r>
        <w:rPr>
          <w:color w:val="6E6158"/>
          <w:spacing w:val="17"/>
        </w:rPr>
        <w:t> </w:t>
      </w:r>
      <w:r>
        <w:rPr>
          <w:color w:val="6E6158"/>
        </w:rPr>
        <w:t>State</w:t>
      </w:r>
      <w:r>
        <w:rPr>
          <w:color w:val="6E6158"/>
          <w:spacing w:val="17"/>
        </w:rPr>
        <w:t> </w:t>
      </w:r>
      <w:r>
        <w:rPr>
          <w:color w:val="6E6158"/>
        </w:rPr>
        <w:t>University,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Fresno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2"/>
        <w:rPr>
          <w:b/>
        </w:rPr>
      </w:pPr>
    </w:p>
    <w:p>
      <w:pPr>
        <w:pStyle w:val="BodyText"/>
        <w:spacing w:line="420" w:lineRule="auto"/>
        <w:ind w:left="356" w:right="53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64716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95767pt;width:1.65pt;height:1.65pt;mso-position-horizontal-relative:page;mso-position-vertical-relative:paragraph;z-index:15730176" id="docshape9" coordorigin="1675,102" coordsize="33,33" path="m1696,134l1687,134,1683,133,1676,127,1675,123,1675,114,1676,110,1683,104,1687,102,1696,102,1699,104,1706,110,1707,114,1707,118,1707,123,1706,127,1699,133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323081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39514pt;width:1.65pt;height:1.65pt;mso-position-horizontal-relative:page;mso-position-vertical-relative:paragraph;z-index:15730688" id="docshape10" coordorigin="1675,509" coordsize="33,33" path="m1696,541l1687,541,1683,540,1676,533,1675,530,1675,521,1676,517,1683,510,1687,509,1696,509,1699,510,1706,517,1707,521,1707,525,1707,530,1706,533,1699,540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581447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83264pt;width:1.65pt;height:1.65pt;mso-position-horizontal-relative:page;mso-position-vertical-relative:paragraph;z-index:15731200" id="docshape11" coordorigin="1675,916" coordsize="33,33" path="m1696,948l1687,948,1683,947,1676,940,1675,936,1675,927,1676,924,1683,917,1687,916,1696,916,1699,917,1706,924,1707,927,1707,932,1707,936,1706,940,1699,947,1696,9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Alternative Dispute Resolution Construction Law and </w:t>
      </w:r>
      <w:r>
        <w:rPr>
          <w:color w:val="6E6158"/>
        </w:rPr>
        <w:t>Litigation Business Litigation</w:t>
      </w:r>
    </w:p>
    <w:p>
      <w:pPr>
        <w:pStyle w:val="BodyText"/>
        <w:spacing w:line="420" w:lineRule="auto" w:before="6"/>
        <w:ind w:left="356" w:right="70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63202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76562pt;width:1.65pt;height:1.65pt;mso-position-horizontal-relative:page;mso-position-vertical-relative:paragraph;z-index:15731712" id="docshape12" coordorigin="1675,100" coordsize="33,33" path="m1696,132l1687,132,1683,130,1676,124,1675,120,1675,111,1676,107,1683,101,1687,100,1696,100,1699,101,1706,107,1707,111,1707,116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326735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27186pt;width:1.65pt;height:1.65pt;mso-position-horizontal-relative:page;mso-position-vertical-relative:paragraph;z-index:15732224" id="docshape13" coordorigin="1675,515" coordsize="33,33" path="m1696,547l1687,547,1683,546,1676,539,1675,535,1675,526,1676,522,1683,516,1687,515,1696,515,1699,516,1706,522,1707,526,1707,531,1707,535,1706,539,1699,546,1696,5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Construction </w:t>
      </w:r>
      <w:r>
        <w:rPr>
          <w:color w:val="6E6158"/>
        </w:rPr>
        <w:t>Law Real Estate</w:t>
      </w:r>
    </w:p>
    <w:p>
      <w:pPr>
        <w:pStyle w:val="Heading1"/>
        <w:spacing w:before="159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168447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3577pt;width:1.65pt;height:1.65pt;mso-position-horizontal-relative:page;mso-position-vertical-relative:paragraph;z-index:15732736" id="docshape14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Northern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California Super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i/>
          <w:color w:val="6E6158"/>
          <w:spacing w:val="-2"/>
          <w:sz w:val="20"/>
        </w:rPr>
        <w:t>, </w:t>
      </w:r>
      <w:r>
        <w:rPr>
          <w:color w:val="6E6158"/>
          <w:spacing w:val="-2"/>
          <w:sz w:val="19"/>
        </w:rPr>
        <w:t>2006-</w:t>
      </w:r>
      <w:r>
        <w:rPr>
          <w:color w:val="6E6158"/>
          <w:spacing w:val="-4"/>
          <w:sz w:val="19"/>
        </w:rPr>
        <w:t>2024</w:t>
      </w:r>
    </w:p>
    <w:p>
      <w:pPr>
        <w:spacing w:before="17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183969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85802pt;width:1.65pt;height:1.65pt;mso-position-horizontal-relative:page;mso-position-vertical-relative:paragraph;z-index:15733248" id="docshape15" coordorigin="1675,290" coordsize="33,33" path="m1696,322l1687,322,1683,321,1676,314,1675,310,1675,301,1676,298,1683,291,1687,290,1696,290,1699,291,1706,298,1707,301,1707,306,1707,310,1706,314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Super 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1"/>
          <w:sz w:val="20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100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Northern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California,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2008-</w:t>
      </w:r>
      <w:r>
        <w:rPr>
          <w:color w:val="6E6158"/>
          <w:spacing w:val="-4"/>
          <w:sz w:val="19"/>
        </w:rPr>
        <w:t>2019</w:t>
      </w:r>
    </w:p>
    <w:p>
      <w:pPr>
        <w:pStyle w:val="BodyText"/>
        <w:spacing w:before="16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179171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108028pt;width:1.65pt;height:1.65pt;mso-position-horizontal-relative:page;mso-position-vertical-relative:paragraph;z-index:15733760" id="docshape16" coordorigin="1675,282" coordsize="33,33" path="m1696,315l1687,315,1683,313,1676,307,1675,303,1675,294,1676,290,1683,284,1687,282,1696,282,1699,284,1706,290,1707,294,1707,298,1707,303,1706,307,1699,313,1696,3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left="356" w:right="4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157688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6452pt;width:1.65pt;height:1.65pt;mso-position-horizontal-relative:page;mso-position-vertical-relative:paragraph;z-index:15734272" id="docshape17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416054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0204pt;width:1.65pt;height:1.65pt;mso-position-horizontal-relative:page;mso-position-vertical-relative:paragraph;z-index:15734784" id="docshape18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American Arbitration Association-Construction Industry and Commercial </w:t>
      </w:r>
      <w:r>
        <w:rPr>
          <w:color w:val="6E6158"/>
        </w:rPr>
        <w:t>Arbitration</w:t>
      </w:r>
      <w:r>
        <w:rPr>
          <w:color w:val="6E6158"/>
          <w:spacing w:val="40"/>
        </w:rPr>
        <w:t> </w:t>
      </w:r>
      <w:r>
        <w:rPr>
          <w:color w:val="6E6158"/>
        </w:rPr>
        <w:t>Member, American Bar Association- Construction Industry Forum</w:t>
      </w:r>
    </w:p>
    <w:p>
      <w:pPr>
        <w:pStyle w:val="BodyText"/>
        <w:spacing w:line="292" w:lineRule="auto" w:before="7"/>
        <w:ind w:left="356" w:right="3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156981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60734pt;width:1.65pt;height:1.65pt;mso-position-horizontal-relative:page;mso-position-vertical-relative:paragraph;z-index:15735296" id="docshape19" coordorigin="1675,247" coordsize="33,33" path="m1696,280l1687,280,1683,278,1676,272,1675,268,1675,259,1676,255,1683,249,1687,247,1696,247,1699,249,1706,255,1707,259,1707,263,1707,268,1706,272,1699,278,1696,2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Association of Business Trial Lawyers (ABTL), San Joaquin Valley Chapter-Board Member and Past President</w:t>
      </w:r>
    </w:p>
    <w:p>
      <w:pPr>
        <w:pStyle w:val="BodyText"/>
        <w:spacing w:line="427" w:lineRule="auto" w:before="123"/>
        <w:ind w:left="356" w:right="4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142974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782pt;width:1.65pt;height:1.65pt;mso-position-horizontal-relative:page;mso-position-vertical-relative:paragraph;z-index:15735808" id="docshape20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401340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01587pt;width:1.65pt;height:1.65pt;mso-position-horizontal-relative:page;mso-position-vertical-relative:paragraph;z-index:15736320" id="docshape21" coordorigin="1675,632" coordsize="33,33" path="m1696,665l1687,665,1683,663,1676,657,1675,653,1675,644,1676,640,1683,634,1687,632,1696,632,1699,634,1706,640,1707,644,1707,648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Legal Advisory Committee to the Associated General Contractors of </w:t>
      </w:r>
      <w:r>
        <w:rPr>
          <w:color w:val="6E6158"/>
        </w:rPr>
        <w:t>California Member, Federal Bar Association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54984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95pt;width:1.65pt;height:1.65pt;mso-position-horizontal-relative:page;mso-position-vertical-relative:paragraph;z-index:15736832" id="docshape22" coordorigin="1675,87" coordsize="33,33" path="m1696,119l1687,119,1683,118,1676,111,1675,107,1675,98,1676,95,1683,88,1687,87,1696,87,1699,88,1706,95,1707,98,1707,103,1707,107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157948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6866pt;width:1.65pt;height:1.65pt;mso-position-horizontal-relative:page;mso-position-vertical-relative:paragraph;z-index:15737344" id="docshape23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175042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2904pt;width:1.65pt;height:1.65pt;mso-position-horizontal-relative:page;mso-position-vertical-relative:paragraph;z-index:15737856" id="docshape24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174992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8942pt;width:1.65pt;height:1.65pt;mso-position-horizontal-relative:page;mso-position-vertical-relative:paragraph;z-index:15738368" id="docshape25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175029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1852pt;width:1.65pt;height:1.65pt;mso-position-horizontal-relative:page;mso-position-vertical-relative:paragraph;z-index:15738880" id="docshape26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174979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7914pt;width:1.65pt;height:1.65pt;mso-position-horizontal-relative:page;mso-position-vertical-relative:paragraph;z-index:15739392" id="docshape27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Southern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174929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3952pt;width:1.65pt;height:1.65pt;mso-position-horizontal-relative:page;mso-position-vertical-relative:paragraph;z-index:15739904" id="docshape28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169798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999pt;width:1.65pt;height:1.65pt;mso-position-horizontal-relative:page;mso-position-vertical-relative:paragraph;z-index:15740416" id="docshape29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fennemorelaw.com/services/business-litigation/" TargetMode="External"/><Relationship Id="rId6" Type="http://schemas.openxmlformats.org/officeDocument/2006/relationships/hyperlink" Target="https://www.fennemorelaw.com/contact-us/fresno/" TargetMode="External"/><Relationship Id="rId7" Type="http://schemas.openxmlformats.org/officeDocument/2006/relationships/hyperlink" Target="mailto:smcgee@fennemorelaw.com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www.fennemorelaw.com/" TargetMode="External"/><Relationship Id="rId10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2025-02-25T00:03:14Z</dcterms:created>
  <dcterms:modified xsi:type="dcterms:W3CDTF">2025-02-25T00:03:14Z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LastSaved">
    <vt:filetime>2025-02-25T00:00:00Z</vt:filetime>
  </property>
  <property fmtid="{D5CDD505-2E9C-101B-9397-08002B2CF9AE}" pid="4" name="Producer">
    <vt:lpwstr>ConvertAPI</vt:lpwstr>
  </property>
</Properties>
</file>