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18592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185920"/>
                          <a:chExt cx="6066790" cy="41859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44716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997" w:right="98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Fennemore’s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Advanced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Energy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provides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full-service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representation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renewable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next-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generation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energy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producers,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developers,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manufacturers.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counsel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facilities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business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development,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corporate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matters,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advise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construction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issues,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assist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regulatory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strategies.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9281" y="1585517"/>
                            <a:ext cx="48209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1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full-service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representation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alternative,</w:t>
                              </w:r>
                            </w:p>
                            <w:p>
                              <w:pPr>
                                <w:spacing w:before="7"/>
                                <w:ind w:left="0" w:right="19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renewable,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next-generation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energy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producers,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developers,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and manufacturers.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56195" y="880542"/>
                            <a:ext cx="23672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Advanced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29.6pt;mso-position-horizontal-relative:char;mso-position-vertical-relative:line" id="docshapegroup1" coordorigin="0,0" coordsize="9554,659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27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997" w:right="98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Fennemore’s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Advanced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Energy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team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provides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full-service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representation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renewable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next- </w:t>
                        </w:r>
                        <w:r>
                          <w:rPr>
                            <w:color w:val="FFFFFF"/>
                            <w:sz w:val="16"/>
                          </w:rPr>
                          <w:t>generation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energy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producers,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developers,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manufacturers.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counsel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facilities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 business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development,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corporate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finance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matters,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advise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 construction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issues,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assist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risk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management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regulatory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compliance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strategies.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91;top:2496;width:7592;height:825" type="#_x0000_t202" id="docshape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1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provide</w:t>
                        </w:r>
                        <w:r>
                          <w:rPr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full-service</w:t>
                        </w:r>
                        <w:r>
                          <w:rPr>
                            <w:color w:val="FFFFFF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representation</w:t>
                        </w:r>
                        <w:r>
                          <w:rPr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alternative,</w:t>
                        </w:r>
                      </w:p>
                      <w:p>
                        <w:pPr>
                          <w:spacing w:before="7"/>
                          <w:ind w:left="0" w:right="19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renewable,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next-generation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energy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producers,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developers,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and manufacturers.</w:t>
                        </w:r>
                      </w:p>
                    </w:txbxContent>
                  </v:textbox>
                  <w10:wrap type="none"/>
                </v:shape>
                <v:shape style="position:absolute;left:2923;top:1386;width:3728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Advanced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Energy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spacing w:before="91"/>
        <w:ind w:left="0"/>
        <w:rPr>
          <w:rFonts w:ascii="Times New Roman"/>
          <w:sz w:val="16"/>
        </w:rPr>
      </w:pPr>
    </w:p>
    <w:p>
      <w:pPr>
        <w:spacing w:line="218" w:lineRule="auto" w:before="1"/>
        <w:ind w:left="3532" w:right="-8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-30462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ADVANCED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ENERGY</w:t>
        </w:r>
      </w:hyperlink>
    </w:p>
    <w:p>
      <w:pPr>
        <w:pStyle w:val="BodyText"/>
        <w:spacing w:before="48"/>
        <w:ind w:left="0"/>
        <w:rPr>
          <w:sz w:val="16"/>
        </w:rPr>
      </w:pPr>
    </w:p>
    <w:p>
      <w:pPr>
        <w:spacing w:line="218" w:lineRule="auto" w:before="1"/>
        <w:ind w:left="3532" w:right="-8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spacing w:before="101"/>
        <w:ind w:left="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2E6B"/>
          <w:spacing w:val="-2"/>
          <w:sz w:val="20"/>
        </w:rPr>
        <w:t>LEADERSHIP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136"/>
        <w:ind w:left="0"/>
        <w:rPr>
          <w:b/>
          <w:sz w:val="16"/>
        </w:rPr>
      </w:pPr>
    </w:p>
    <w:p>
      <w:pPr>
        <w:spacing w:line="218" w:lineRule="auto" w:before="0"/>
        <w:ind w:left="301" w:right="967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ADVANCED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ENERGY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301" w:right="967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spacing w:after="0" w:line="218" w:lineRule="auto"/>
        <w:jc w:val="left"/>
        <w:rPr>
          <w:sz w:val="16"/>
        </w:rPr>
        <w:sectPr>
          <w:type w:val="continuous"/>
          <w:pgSz w:w="12240" w:h="15840"/>
          <w:pgMar w:top="560" w:bottom="280" w:left="1080" w:right="1080"/>
          <w:cols w:num="3" w:equalWidth="0">
            <w:col w:w="4450" w:space="24"/>
            <w:col w:w="3372" w:space="40"/>
            <w:col w:w="2194"/>
          </w:cols>
        </w:sectPr>
      </w:pPr>
    </w:p>
    <w:p>
      <w:pPr>
        <w:spacing w:line="199" w:lineRule="auto" w:before="169"/>
        <w:ind w:left="3532" w:right="2717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-639696</wp:posOffset>
            </wp:positionV>
            <wp:extent cx="1395174" cy="13951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b/>
            <w:sz w:val="16"/>
          </w:rPr>
          <w:t>Edward</w:t>
        </w:r>
        <w:r>
          <w:rPr>
            <w:b/>
            <w:spacing w:val="-9"/>
            <w:sz w:val="16"/>
          </w:rPr>
          <w:t> </w:t>
        </w:r>
        <w:r>
          <w:rPr>
            <w:b/>
            <w:sz w:val="16"/>
          </w:rPr>
          <w:t>D.</w:t>
        </w:r>
        <w:r>
          <w:rPr>
            <w:b/>
            <w:spacing w:val="-9"/>
            <w:sz w:val="16"/>
          </w:rPr>
          <w:t> </w:t>
        </w:r>
        <w:r>
          <w:rPr>
            <w:b/>
            <w:sz w:val="16"/>
          </w:rPr>
          <w:t>"Ted"</w:t>
        </w:r>
      </w:hyperlink>
      <w:r>
        <w:rPr>
          <w:b/>
          <w:sz w:val="16"/>
        </w:rPr>
        <w:t> </w:t>
      </w:r>
      <w:hyperlink r:id="rId12">
        <w:r>
          <w:rPr>
            <w:b/>
            <w:spacing w:val="-2"/>
            <w:sz w:val="16"/>
          </w:rPr>
          <w:t>White</w:t>
        </w:r>
      </w:hyperlink>
    </w:p>
    <w:p>
      <w:pPr>
        <w:spacing w:line="144" w:lineRule="exact" w:before="0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Co-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3">
        <w:r>
          <w:rPr>
            <w:b/>
            <w:spacing w:val="-2"/>
            <w:sz w:val="12"/>
          </w:rPr>
          <w:t>Denver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303.813.3896</w:t>
      </w:r>
    </w:p>
    <w:p>
      <w:pPr>
        <w:spacing w:before="8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303.291.3201</w:t>
      </w:r>
    </w:p>
    <w:p>
      <w:pPr>
        <w:spacing w:line="266" w:lineRule="auto" w:before="15"/>
        <w:ind w:left="3532" w:right="3078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twhite@fennemorela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line="240" w:lineRule="auto" w:before="2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91" w:lineRule="exact" w:before="0"/>
        <w:ind w:left="301" w:right="0" w:firstLine="0"/>
        <w:jc w:val="left"/>
        <w:rPr>
          <w:b/>
          <w:sz w:val="16"/>
        </w:rPr>
      </w:pPr>
      <w:hyperlink r:id="rId15">
        <w:r>
          <w:rPr>
            <w:b/>
            <w:sz w:val="16"/>
          </w:rPr>
          <w:t>Zaki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Robbins</w:t>
        </w:r>
      </w:hyperlink>
    </w:p>
    <w:p>
      <w:pPr>
        <w:spacing w:line="142" w:lineRule="exact" w:before="0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Co-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01" w:right="0" w:firstLine="0"/>
        <w:jc w:val="left"/>
        <w:rPr>
          <w:b/>
          <w:sz w:val="12"/>
        </w:rPr>
      </w:pPr>
      <w:hyperlink r:id="rId13">
        <w:r>
          <w:rPr>
            <w:b/>
            <w:spacing w:val="-2"/>
            <w:sz w:val="12"/>
          </w:rPr>
          <w:t>Denver</w:t>
        </w:r>
      </w:hyperlink>
    </w:p>
    <w:p>
      <w:pPr>
        <w:spacing w:before="16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303.813.3857</w:t>
      </w:r>
    </w:p>
    <w:p>
      <w:pPr>
        <w:spacing w:before="7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303.291.3201</w:t>
      </w:r>
    </w:p>
    <w:p>
      <w:pPr>
        <w:spacing w:line="266" w:lineRule="auto" w:before="16"/>
        <w:ind w:left="301" w:right="232" w:firstLine="0"/>
        <w:jc w:val="left"/>
        <w:rPr>
          <w:sz w:val="12"/>
        </w:rPr>
      </w:pPr>
      <w:hyperlink r:id="rId16">
        <w:r>
          <w:rPr>
            <w:color w:val="002E6B"/>
            <w:spacing w:val="-2"/>
            <w:sz w:val="12"/>
            <w:u w:val="single" w:color="002E6B"/>
          </w:rPr>
          <w:t>zrobbins@fennemorel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6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7846" w:space="40"/>
            <w:col w:w="2194"/>
          </w:cols>
        </w:sectPr>
      </w:pPr>
    </w:p>
    <w:p>
      <w:pPr>
        <w:pStyle w:val="BodyText"/>
        <w:spacing w:before="259"/>
        <w:ind w:left="0"/>
        <w:rPr>
          <w:sz w:val="24"/>
        </w:rPr>
      </w:pPr>
    </w:p>
    <w:p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color w:val="FF8100"/>
          <w:spacing w:val="-2"/>
          <w:sz w:val="24"/>
        </w:rPr>
        <w:t>ABOUT</w:t>
      </w:r>
    </w:p>
    <w:p>
      <w:pPr>
        <w:pStyle w:val="BodyText"/>
        <w:spacing w:line="295" w:lineRule="auto" w:before="147"/>
        <w:ind w:left="464" w:right="578"/>
      </w:pPr>
      <w:r>
        <w:rPr>
          <w:color w:val="6E6158"/>
        </w:rPr>
        <w:t>Understanding how the industry operates, we bring skills from a broad range of disciplines to</w:t>
      </w:r>
      <w:r>
        <w:rPr>
          <w:color w:val="6E6158"/>
          <w:spacing w:val="40"/>
        </w:rPr>
        <w:t> </w:t>
      </w:r>
      <w:r>
        <w:rPr>
          <w:color w:val="6E6158"/>
        </w:rPr>
        <w:t>advance our clients in this evolving arena. Our team is involved in more than just the legal issues.</w:t>
      </w:r>
      <w:r>
        <w:rPr>
          <w:color w:val="6E6158"/>
          <w:spacing w:val="40"/>
        </w:rPr>
        <w:t> </w:t>
      </w:r>
      <w:r>
        <w:rPr>
          <w:color w:val="6E6158"/>
        </w:rPr>
        <w:t>For example, one of our partners, Ted White, is on the board of directors of a research and consulting</w:t>
      </w:r>
      <w:r>
        <w:rPr>
          <w:color w:val="6E6158"/>
          <w:spacing w:val="35"/>
        </w:rPr>
        <w:t> </w:t>
      </w:r>
      <w:r>
        <w:rPr>
          <w:color w:val="6E6158"/>
        </w:rPr>
        <w:t>company</w:t>
      </w:r>
      <w:r>
        <w:rPr>
          <w:color w:val="6E6158"/>
          <w:spacing w:val="35"/>
        </w:rPr>
        <w:t> </w:t>
      </w:r>
      <w:r>
        <w:rPr>
          <w:color w:val="6E6158"/>
        </w:rPr>
        <w:t>(a</w:t>
      </w:r>
      <w:r>
        <w:rPr>
          <w:color w:val="6E6158"/>
          <w:spacing w:val="35"/>
        </w:rPr>
        <w:t> </w:t>
      </w:r>
      <w:r>
        <w:rPr>
          <w:color w:val="6E6158"/>
        </w:rPr>
        <w:t>“think-and-do</w:t>
      </w:r>
      <w:r>
        <w:rPr>
          <w:color w:val="6E6158"/>
          <w:spacing w:val="35"/>
        </w:rPr>
        <w:t> </w:t>
      </w:r>
      <w:r>
        <w:rPr>
          <w:color w:val="6E6158"/>
        </w:rPr>
        <w:t>tank”)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collaborates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advises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global,</w:t>
      </w:r>
    </w:p>
    <w:p>
      <w:pPr>
        <w:pStyle w:val="BodyText"/>
        <w:spacing w:line="297" w:lineRule="auto" w:before="1"/>
        <w:ind w:left="464" w:right="868"/>
      </w:pPr>
      <w:r>
        <w:rPr>
          <w:color w:val="6E6158"/>
        </w:rPr>
        <w:t>national, and local advanced energy projects and distributed resources. As a team, we work</w:t>
      </w:r>
      <w:r>
        <w:rPr>
          <w:color w:val="6E6158"/>
          <w:spacing w:val="40"/>
        </w:rPr>
        <w:t> </w:t>
      </w:r>
      <w:r>
        <w:rPr>
          <w:color w:val="6E6158"/>
        </w:rPr>
        <w:t>with leading industry groups to create structures that commercialize innovative technologies</w:t>
      </w:r>
      <w:r>
        <w:rPr>
          <w:color w:val="6E6158"/>
          <w:spacing w:val="40"/>
        </w:rPr>
        <w:t> </w:t>
      </w:r>
      <w:r>
        <w:rPr>
          <w:color w:val="6E6158"/>
        </w:rPr>
        <w:t>and distribution models.</w:t>
      </w:r>
    </w:p>
    <w:p>
      <w:pPr>
        <w:pStyle w:val="BodyText"/>
        <w:spacing w:line="297" w:lineRule="auto" w:before="192"/>
        <w:ind w:left="464" w:right="578"/>
      </w:pPr>
      <w:r>
        <w:rPr>
          <w:color w:val="6E6158"/>
        </w:rPr>
        <w:t>Our approach includes a focus on community buy-in and education, with local governmental</w:t>
      </w:r>
      <w:r>
        <w:rPr>
          <w:color w:val="6E6158"/>
          <w:spacing w:val="40"/>
        </w:rPr>
        <w:t> </w:t>
      </w:r>
      <w:r>
        <w:rPr>
          <w:color w:val="6E6158"/>
        </w:rPr>
        <w:t>and public support as keys to successful project development. Our team has successfully </w:t>
      </w:r>
      <w:r>
        <w:rPr>
          <w:color w:val="6E6158"/>
        </w:rPr>
        <w:t>turned</w:t>
      </w:r>
      <w:r>
        <w:rPr>
          <w:color w:val="6E6158"/>
          <w:spacing w:val="40"/>
        </w:rPr>
        <w:t> </w:t>
      </w:r>
      <w:r>
        <w:rPr>
          <w:color w:val="6E6158"/>
        </w:rPr>
        <w:t>strong local concern into support for advancing the project.</w:t>
      </w:r>
    </w:p>
    <w:p>
      <w:pPr>
        <w:spacing w:before="157"/>
        <w:ind w:left="464" w:right="0" w:firstLine="0"/>
        <w:jc w:val="left"/>
        <w:rPr>
          <w:b/>
          <w:sz w:val="24"/>
        </w:rPr>
      </w:pPr>
      <w:r>
        <w:rPr>
          <w:b/>
          <w:color w:val="FF8100"/>
          <w:spacing w:val="-2"/>
          <w:sz w:val="24"/>
        </w:rPr>
        <w:t>EXPERIENCE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Heading1"/>
      </w:pP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includes:</w:t>
      </w:r>
    </w:p>
    <w:p>
      <w:pPr>
        <w:pStyle w:val="BodyText"/>
        <w:spacing w:line="420" w:lineRule="auto" w:before="217"/>
        <w:ind w:right="2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202184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920067pt;width:1.65pt;height:1.65pt;mso-position-horizontal-relative:page;mso-position-vertical-relative:paragraph;z-index:15730176" id="docshape8" coordorigin="1675,318" coordsize="33,33" path="m1696,351l1687,351,1683,349,1676,343,1675,339,1675,330,1676,326,1683,320,1687,318,1696,318,1699,320,1706,326,1707,330,1707,335,1707,339,1706,343,1699,349,1696,3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460550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263813pt;width:1.65pt;height:1.65pt;mso-position-horizontal-relative:page;mso-position-vertical-relative:paragraph;z-index:15730688" id="docshape9" coordorigin="1675,725" coordsize="33,33" path="m1696,758l1687,758,1683,756,1676,750,1675,746,1675,737,1676,733,1683,727,1687,725,1696,725,1699,727,1706,733,1707,737,1707,742,1707,746,1706,750,1699,756,1696,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Power purchase, virtual power purchase, and structure </w:t>
      </w:r>
      <w:r>
        <w:rPr>
          <w:color w:val="6E6158"/>
        </w:rPr>
        <w:t>agreements Transmission and interconnection agreements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63380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597pt;width:1.65pt;height:1.65pt;mso-position-horizontal-relative:page;mso-position-vertical-relative:paragraph;z-index:15731200" id="docshape1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Project</w:t>
      </w:r>
      <w:r>
        <w:rPr>
          <w:color w:val="6E6158"/>
          <w:spacing w:val="17"/>
        </w:rPr>
        <w:t> </w:t>
      </w:r>
      <w:r>
        <w:rPr>
          <w:color w:val="6E6158"/>
        </w:rPr>
        <w:t>development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174829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08pt;width:1.65pt;height:1.65pt;mso-position-horizontal-relative:page;mso-position-vertical-relative:paragraph;z-index:15731712" id="docshape1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Engineering,</w:t>
      </w:r>
      <w:r>
        <w:rPr>
          <w:color w:val="6E6158"/>
          <w:spacing w:val="20"/>
        </w:rPr>
        <w:t> </w:t>
      </w:r>
      <w:r>
        <w:rPr>
          <w:color w:val="6E6158"/>
        </w:rPr>
        <w:t>procurement,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construction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line="420" w:lineRule="auto" w:before="173"/>
        <w:ind w:right="2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174866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028pt;width:1.65pt;height:1.65pt;mso-position-horizontal-relative:page;mso-position-vertical-relative:paragraph;z-index:15732224" id="docshape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433232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774pt;width:1.65pt;height:1.65pt;mso-position-horizontal-relative:page;mso-position-vertical-relative:paragraph;z-index:1573273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Site selection, land use and real estate, including regulatory </w:t>
      </w:r>
      <w:r>
        <w:rPr>
          <w:color w:val="6E6158"/>
        </w:rPr>
        <w:t>assessment Easements, rights-of-way, and eminent domain</w:t>
      </w:r>
    </w:p>
    <w:p>
      <w:pPr>
        <w:pStyle w:val="BodyText"/>
        <w:spacing w:before="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110508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.701432pt;width:1.65pt;height:1.65pt;mso-position-horizontal-relative:page;mso-position-vertical-relative:paragraph;z-index:15733248" id="docshape14" coordorigin="1675,174" coordsize="33,33" path="m1696,207l1687,207,1683,205,1676,199,1675,195,1675,186,1676,182,1683,176,1687,174,1696,174,1699,176,1706,182,1707,186,1707,190,1707,195,1706,199,1699,205,1696,2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Project</w:t>
      </w:r>
      <w:r>
        <w:rPr>
          <w:color w:val="6E6158"/>
          <w:spacing w:val="14"/>
        </w:rPr>
        <w:t> </w:t>
      </w:r>
      <w:r>
        <w:rPr>
          <w:color w:val="6E6158"/>
        </w:rPr>
        <w:t>acquisition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financing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263159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226pt;width:1.65pt;height:1.65pt;mso-position-horizontal-relative:page;mso-position-vertical-relative:paragraph;z-index:15733760" id="docshape1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FERC, state commissions, and other administrative agency proceedings (rulemakings </w:t>
      </w:r>
      <w:r>
        <w:rPr>
          <w:color w:val="6E6158"/>
        </w:rPr>
        <w:t>and </w:t>
      </w:r>
      <w:r>
        <w:rPr>
          <w:color w:val="6E6158"/>
          <w:spacing w:val="-2"/>
        </w:rPr>
        <w:t>adjudications)</w:t>
      </w:r>
    </w:p>
    <w:p>
      <w:pPr>
        <w:pStyle w:val="BodyText"/>
        <w:spacing w:line="422" w:lineRule="auto" w:before="123"/>
        <w:ind w:right="5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143107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325pt;width:1.65pt;height:1.65pt;mso-position-horizontal-relative:page;mso-position-vertical-relative:paragraph;z-index:15734272" id="docshape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401473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2076pt;width:1.65pt;height:1.65pt;mso-position-horizontal-relative:page;mso-position-vertical-relative:paragraph;z-index:15734784" id="docshape17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659838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5822pt;width:1.65pt;height:1.65pt;mso-position-horizontal-relative:page;mso-position-vertical-relative:paragraph;z-index:15735296" id="docshape18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Joint venture formation and </w:t>
      </w:r>
      <w:r>
        <w:rPr>
          <w:color w:val="6E6158"/>
        </w:rPr>
        <w:t>structure Technology transfer and licensing </w:t>
      </w:r>
      <w:r>
        <w:rPr>
          <w:color w:val="6E6158"/>
          <w:spacing w:val="-2"/>
        </w:rPr>
        <w:t>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64218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6565pt;width:1.65pt;height:1.65pt;mso-position-horizontal-relative:page;mso-position-vertical-relative:paragraph;z-index:15735808" id="docshape19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agency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actions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411pt;width:1.65pt;height:1.65pt;mso-position-horizontal-relative:page;mso-position-vertical-relative:paragraph;z-index:15736320" id="docshape2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Seeking</w:t>
      </w:r>
      <w:r>
        <w:rPr>
          <w:color w:val="6E6158"/>
          <w:spacing w:val="12"/>
        </w:rPr>
        <w:t> </w:t>
      </w:r>
      <w:r>
        <w:rPr>
          <w:color w:val="6E6158"/>
        </w:rPr>
        <w:t>federal,</w:t>
      </w:r>
      <w:r>
        <w:rPr>
          <w:color w:val="6E6158"/>
          <w:spacing w:val="13"/>
        </w:rPr>
        <w:t> </w:t>
      </w:r>
      <w:r>
        <w:rPr>
          <w:color w:val="6E6158"/>
        </w:rPr>
        <w:t>state,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local</w:t>
      </w:r>
      <w:r>
        <w:rPr>
          <w:color w:val="6E6158"/>
          <w:spacing w:val="13"/>
        </w:rPr>
        <w:t> </w:t>
      </w:r>
      <w:r>
        <w:rPr>
          <w:color w:val="6E6158"/>
        </w:rPr>
        <w:t>energy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economic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incentives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TRACK</w:t>
      </w:r>
      <w:r>
        <w:rPr>
          <w:b/>
          <w:color w:val="FF8100"/>
          <w:spacing w:val="8"/>
          <w:sz w:val="24"/>
        </w:rPr>
        <w:t> </w:t>
      </w:r>
      <w:r>
        <w:rPr>
          <w:b/>
          <w:color w:val="FF8100"/>
          <w:spacing w:val="-2"/>
          <w:sz w:val="24"/>
        </w:rPr>
        <w:t>RECORD</w:t>
      </w:r>
    </w:p>
    <w:p>
      <w:pPr>
        <w:pStyle w:val="Heading1"/>
        <w:spacing w:before="152"/>
      </w:pPr>
      <w:r>
        <w:rPr>
          <w:color w:val="6E6158"/>
        </w:rPr>
        <w:t>Our</w:t>
      </w:r>
      <w:r>
        <w:rPr>
          <w:color w:val="6E6158"/>
          <w:spacing w:val="7"/>
        </w:rPr>
        <w:t> </w:t>
      </w:r>
      <w:r>
        <w:rPr>
          <w:color w:val="6E6158"/>
        </w:rPr>
        <w:t>track</w:t>
      </w:r>
      <w:r>
        <w:rPr>
          <w:color w:val="6E6158"/>
          <w:spacing w:val="7"/>
        </w:rPr>
        <w:t> </w:t>
      </w:r>
      <w:r>
        <w:rPr>
          <w:color w:val="6E6158"/>
        </w:rPr>
        <w:t>record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includes:</w:t>
      </w:r>
    </w:p>
    <w:p>
      <w:pPr>
        <w:pStyle w:val="BodyText"/>
        <w:spacing w:line="292" w:lineRule="auto"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290540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877224pt;width:1.65pt;height:1.65pt;mso-position-horizontal-relative:page;mso-position-vertical-relative:paragraph;z-index:15736832" id="docshape21" coordorigin="1675,458" coordsize="33,33" path="m1696,490l1687,490,1683,489,1676,482,1675,478,1675,469,1676,465,1683,459,1687,458,1696,458,1699,459,1706,465,1707,469,1707,474,1707,478,1706,482,1699,489,1696,4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power purchase agreements, virtual power purchase agreements, LGIPs, </w:t>
      </w:r>
      <w:r>
        <w:rPr>
          <w:color w:val="6E6158"/>
        </w:rPr>
        <w:t>LGIAs,</w:t>
      </w:r>
      <w:r>
        <w:rPr>
          <w:color w:val="6E6158"/>
          <w:spacing w:val="40"/>
        </w:rPr>
        <w:t> </w:t>
      </w:r>
      <w:r>
        <w:rPr>
          <w:color w:val="6E6158"/>
        </w:rPr>
        <w:t>government purchase contracts and EPC agreements.</w:t>
      </w:r>
    </w:p>
    <w:p>
      <w:pPr>
        <w:pStyle w:val="BodyText"/>
        <w:spacing w:line="297" w:lineRule="auto" w:before="124"/>
        <w:ind w:right="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324039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95pt;width:1.65pt;height:1.65pt;mso-position-horizontal-relative:page;mso-position-vertical-relative:paragraph;z-index:15737344" id="docshape2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outside general counsel for a technology company that developed a </w:t>
      </w:r>
      <w:r>
        <w:rPr>
          <w:color w:val="6E6158"/>
        </w:rPr>
        <w:t>patented</w:t>
      </w:r>
      <w:r>
        <w:rPr>
          <w:color w:val="6E6158"/>
          <w:spacing w:val="40"/>
        </w:rPr>
        <w:t> </w:t>
      </w:r>
      <w:r>
        <w:rPr>
          <w:color w:val="6E6158"/>
        </w:rPr>
        <w:t>high-throughput manufacturing measurement system that evaluates the residual and handling stresses and defects in photovoltaic (PV) silicon wafers.</w:t>
      </w:r>
    </w:p>
    <w:p>
      <w:pPr>
        <w:pStyle w:val="BodyText"/>
        <w:spacing w:line="292" w:lineRule="auto" w:before="118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320260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7358pt;width:1.65pt;height:1.65pt;mso-position-horizontal-relative:page;mso-position-vertical-relative:paragraph;z-index:15737856" id="docshape23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Delivered primary legal counsel for day-to-day operations of an international clean energy</w:t>
      </w:r>
      <w:r>
        <w:rPr>
          <w:color w:val="6E6158"/>
          <w:spacing w:val="40"/>
        </w:rPr>
        <w:t> </w:t>
      </w:r>
      <w:r>
        <w:rPr>
          <w:color w:val="6E6158"/>
        </w:rPr>
        <w:t>company with solar, hydroelectric, wind, carbon trading and consulting divisions; </w:t>
      </w:r>
      <w:r>
        <w:rPr>
          <w:color w:val="6E6158"/>
        </w:rPr>
        <w:t>assistance included public offering and sale.</w:t>
      </w:r>
    </w:p>
    <w:p>
      <w:pPr>
        <w:pStyle w:val="BodyText"/>
        <w:spacing w:line="420" w:lineRule="auto" w:before="132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143143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114pt;width:1.65pt;height:1.65pt;mso-position-horizontal-relative:page;mso-position-vertical-relative:paragraph;z-index:1573836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406676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1755pt;width:1.65pt;height:1.65pt;mso-position-horizontal-relative:page;mso-position-vertical-relative:paragraph;z-index:15738880" id="docshape25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merger and acquisition services for advanced energy production </w:t>
      </w:r>
      <w:r>
        <w:rPr>
          <w:color w:val="6E6158"/>
        </w:rPr>
        <w:t>facilities. Represented</w:t>
      </w:r>
      <w:r>
        <w:rPr>
          <w:color w:val="6E6158"/>
          <w:spacing w:val="36"/>
        </w:rPr>
        <w:t> </w:t>
      </w:r>
      <w:r>
        <w:rPr>
          <w:color w:val="6E6158"/>
        </w:rPr>
        <w:t>a</w:t>
      </w:r>
      <w:r>
        <w:rPr>
          <w:color w:val="6E6158"/>
          <w:spacing w:val="36"/>
        </w:rPr>
        <w:t> </w:t>
      </w:r>
      <w:r>
        <w:rPr>
          <w:color w:val="6E6158"/>
        </w:rPr>
        <w:t>private</w:t>
      </w:r>
      <w:r>
        <w:rPr>
          <w:color w:val="6E6158"/>
          <w:spacing w:val="36"/>
        </w:rPr>
        <w:t> </w:t>
      </w:r>
      <w:r>
        <w:rPr>
          <w:color w:val="6E6158"/>
        </w:rPr>
        <w:t>equity</w:t>
      </w:r>
      <w:r>
        <w:rPr>
          <w:color w:val="6E6158"/>
          <w:spacing w:val="36"/>
        </w:rPr>
        <w:t> </w:t>
      </w:r>
      <w:r>
        <w:rPr>
          <w:color w:val="6E6158"/>
        </w:rPr>
        <w:t>fund</w:t>
      </w:r>
      <w:r>
        <w:rPr>
          <w:color w:val="6E6158"/>
          <w:spacing w:val="36"/>
        </w:rPr>
        <w:t> </w:t>
      </w:r>
      <w:r>
        <w:rPr>
          <w:color w:val="6E6158"/>
        </w:rPr>
        <w:t>that</w:t>
      </w:r>
      <w:r>
        <w:rPr>
          <w:color w:val="6E6158"/>
          <w:spacing w:val="36"/>
        </w:rPr>
        <w:t> </w:t>
      </w:r>
      <w:r>
        <w:rPr>
          <w:color w:val="6E6158"/>
        </w:rPr>
        <w:t>invests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energy</w:t>
      </w:r>
      <w:r>
        <w:rPr>
          <w:color w:val="6E6158"/>
          <w:spacing w:val="36"/>
        </w:rPr>
        <w:t> </w:t>
      </w:r>
      <w:r>
        <w:rPr>
          <w:color w:val="6E6158"/>
        </w:rPr>
        <w:t>technology</w:t>
      </w:r>
      <w:r>
        <w:rPr>
          <w:color w:val="6E6158"/>
          <w:spacing w:val="36"/>
        </w:rPr>
        <w:t> </w:t>
      </w:r>
      <w:r>
        <w:rPr>
          <w:color w:val="6E6158"/>
        </w:rPr>
        <w:t>companies.</w:t>
      </w:r>
    </w:p>
    <w:p>
      <w:pPr>
        <w:pStyle w:val="BodyText"/>
        <w:spacing w:line="297" w:lineRule="auto"/>
        <w:ind w:right="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244337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39145pt;width:1.65pt;height:1.65pt;mso-position-horizontal-relative:page;mso-position-vertical-relative:paragraph;z-index:15739392" id="docshape26" coordorigin="1675,385" coordsize="33,33" path="m1696,417l1687,417,1683,416,1676,409,1675,406,1675,397,1676,393,1683,386,1687,385,1696,385,1699,386,1706,393,1707,397,1707,401,1707,406,1706,409,1699,416,1696,4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project counsel to development, finance and construction arm of </w:t>
      </w:r>
      <w:r>
        <w:rPr>
          <w:color w:val="6E6158"/>
        </w:rPr>
        <w:t>advance generation facility in Honduras, combining solar, battery storage and advanced reciprocating generation.</w:t>
      </w:r>
    </w:p>
    <w:p>
      <w:pPr>
        <w:pStyle w:val="BodyText"/>
        <w:spacing w:line="292" w:lineRule="auto" w:before="116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226286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17808pt;width:1.65pt;height:1.65pt;mso-position-horizontal-relative:page;mso-position-vertical-relative:paragraph;z-index:15739904" id="docshape27" coordorigin="1675,356" coordsize="33,33" path="m1696,389l1687,389,1683,387,1676,381,1675,377,1675,368,1676,364,1683,358,1687,356,1696,356,1699,358,1706,364,1707,368,1707,373,1707,377,1706,381,1699,387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nonprofit on creation of technology accelerator for startups developing solutions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combat climate change.</w:t>
      </w:r>
    </w:p>
    <w:p>
      <w:pPr>
        <w:pStyle w:val="BodyText"/>
        <w:spacing w:line="292" w:lineRule="auto" w:before="132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236075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661pt;width:1.65pt;height:1.65pt;mso-position-horizontal-relative:page;mso-position-vertical-relative:paragraph;z-index:15740416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Worked with venture capital fund on over $30 million in early stage technology investments</w:t>
      </w:r>
      <w:r>
        <w:rPr>
          <w:color w:val="6E6158"/>
          <w:spacing w:val="40"/>
        </w:rPr>
        <w:t> </w:t>
      </w:r>
      <w:r>
        <w:rPr>
          <w:color w:val="6E6158"/>
        </w:rPr>
        <w:t>focused on sustainable manufacturing.</w:t>
      </w:r>
    </w:p>
    <w:p>
      <w:pPr>
        <w:pStyle w:val="BodyText"/>
        <w:spacing w:line="292" w:lineRule="auto" w:before="196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277044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14516pt;width:1.65pt;height:1.65pt;mso-position-horizontal-relative:page;mso-position-vertical-relative:paragraph;z-index:15740928" id="docshape29" coordorigin="1675,436" coordsize="33,33" path="m1696,469l1687,469,1683,467,1676,461,1675,457,1675,448,1676,444,1683,438,1687,436,1696,436,1699,438,1706,444,1707,448,1707,453,1707,457,1706,461,1699,467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comprehensive representation to a large geothermal company in both the litigation</w:t>
      </w:r>
      <w:r>
        <w:rPr>
          <w:color w:val="6E6158"/>
          <w:spacing w:val="40"/>
        </w:rPr>
        <w:t> </w:t>
      </w:r>
      <w:r>
        <w:rPr>
          <w:color w:val="6E6158"/>
        </w:rPr>
        <w:t>and transactional arenas.</w:t>
      </w:r>
    </w:p>
    <w:p>
      <w:pPr>
        <w:pStyle w:val="BodyText"/>
        <w:spacing w:line="292" w:lineRule="auto" w:before="131"/>
        <w:ind w:right="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349714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536602pt;width:1.65pt;height:1.65pt;mso-position-horizontal-relative:page;mso-position-vertical-relative:paragraph;z-index:15741440" id="docshape30" coordorigin="1675,551" coordsize="33,33" path="m1696,583l1687,583,1683,582,1676,575,1675,572,1675,563,1676,559,1683,552,1687,551,1696,551,1699,552,1706,559,1707,563,1707,567,1707,572,1706,575,1699,582,1696,5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public energy technology company in developing and implementing a long-</w:t>
      </w:r>
      <w:r>
        <w:rPr>
          <w:color w:val="6E6158"/>
          <w:spacing w:val="40"/>
        </w:rPr>
        <w:t> </w:t>
      </w:r>
      <w:r>
        <w:rPr>
          <w:color w:val="6E6158"/>
        </w:rPr>
        <w:t>term</w:t>
      </w:r>
      <w:r>
        <w:rPr>
          <w:color w:val="6E6158"/>
          <w:spacing w:val="13"/>
        </w:rPr>
        <w:t> </w:t>
      </w:r>
      <w:r>
        <w:rPr>
          <w:color w:val="6E6158"/>
        </w:rPr>
        <w:t>strategic</w:t>
      </w:r>
      <w:r>
        <w:rPr>
          <w:color w:val="6E6158"/>
          <w:spacing w:val="13"/>
        </w:rPr>
        <w:t> </w:t>
      </w:r>
      <w:r>
        <w:rPr>
          <w:color w:val="6E6158"/>
        </w:rPr>
        <w:t>financial</w:t>
      </w:r>
      <w:r>
        <w:rPr>
          <w:color w:val="6E6158"/>
          <w:spacing w:val="13"/>
        </w:rPr>
        <w:t> </w:t>
      </w:r>
      <w:r>
        <w:rPr>
          <w:color w:val="6E6158"/>
        </w:rPr>
        <w:t>plan,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financing</w:t>
      </w:r>
      <w:r>
        <w:rPr>
          <w:color w:val="6E6158"/>
          <w:spacing w:val="13"/>
        </w:rPr>
        <w:t> </w:t>
      </w:r>
      <w:r>
        <w:rPr>
          <w:color w:val="6E6158"/>
        </w:rPr>
        <w:t>asset</w:t>
      </w:r>
      <w:r>
        <w:rPr>
          <w:color w:val="6E6158"/>
          <w:spacing w:val="13"/>
        </w:rPr>
        <w:t> </w:t>
      </w:r>
      <w:r>
        <w:rPr>
          <w:color w:val="6E6158"/>
        </w:rPr>
        <w:t>divestiture,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sale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to</w:t>
      </w:r>
    </w:p>
    <w:p>
      <w:pPr>
        <w:pStyle w:val="BodyText"/>
        <w:spacing w:after="0" w:line="292" w:lineRule="auto"/>
        <w:sectPr>
          <w:pgSz w:w="12240" w:h="15840"/>
          <w:pgMar w:top="520" w:bottom="280" w:left="1080" w:right="1080"/>
        </w:sectPr>
      </w:pPr>
    </w:p>
    <w:p>
      <w:pPr>
        <w:pStyle w:val="BodyText"/>
        <w:spacing w:before="88"/>
      </w:pP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overseas</w:t>
      </w:r>
      <w:r>
        <w:rPr>
          <w:color w:val="6E6158"/>
          <w:spacing w:val="12"/>
        </w:rPr>
        <w:t> </w:t>
      </w:r>
      <w:r>
        <w:rPr>
          <w:color w:val="6E6158"/>
        </w:rPr>
        <w:t>fund,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restructuring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debt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securities.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1952" id="docshape3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counsel in connection with the creation of a global non-profit organization focused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accelerating blockchain technology development across the energy sector.</w:t>
      </w:r>
    </w:p>
    <w:p>
      <w:pPr>
        <w:pStyle w:val="BodyText"/>
        <w:spacing w:before="113"/>
      </w:pPr>
      <w:r>
        <w:rPr>
          <w:color w:val="6E6158"/>
        </w:rPr>
        <w:t>Representation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renewable</w:t>
      </w:r>
      <w:r>
        <w:rPr>
          <w:color w:val="6E6158"/>
          <w:spacing w:val="16"/>
        </w:rPr>
        <w:t> </w:t>
      </w:r>
      <w:r>
        <w:rPr>
          <w:color w:val="6E6158"/>
        </w:rPr>
        <w:t>energy</w:t>
      </w:r>
      <w:r>
        <w:rPr>
          <w:color w:val="6E6158"/>
          <w:spacing w:val="15"/>
        </w:rPr>
        <w:t> </w:t>
      </w:r>
      <w:r>
        <w:rPr>
          <w:color w:val="6E6158"/>
        </w:rPr>
        <w:t>developers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Energy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Commission</w:t>
      </w:r>
    </w:p>
    <w:p>
      <w:pPr>
        <w:pStyle w:val="BodyText"/>
        <w:spacing w:line="29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97637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7954pt;width:1.65pt;height:1.65pt;mso-position-horizontal-relative:page;mso-position-vertical-relative:paragraph;z-index:15742464" id="docshape32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(FERC) proceedings, and with Large Generator Interconnection Procedures (LGIP) and </w:t>
      </w:r>
      <w:r>
        <w:rPr>
          <w:color w:val="6E6158"/>
        </w:rPr>
        <w:t>Large</w:t>
      </w:r>
      <w:r>
        <w:rPr>
          <w:color w:val="6E6158"/>
          <w:spacing w:val="40"/>
        </w:rPr>
        <w:t> </w:t>
      </w:r>
      <w:r>
        <w:rPr>
          <w:color w:val="6E6158"/>
        </w:rPr>
        <w:t>Generator Interconnection Agreement (LGIA) issues.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235911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678pt;width:1.65pt;height:1.65pt;mso-position-horizontal-relative:page;mso-position-vertical-relative:paragraph;z-index:15742976" id="docshape33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counsel for the development, construction, and operation of utility scale wind and </w:t>
      </w:r>
      <w:r>
        <w:rPr>
          <w:color w:val="6E6158"/>
        </w:rPr>
        <w:t>solar</w:t>
      </w:r>
      <w:r>
        <w:rPr>
          <w:color w:val="6E6158"/>
          <w:spacing w:val="40"/>
        </w:rPr>
        <w:t> </w:t>
      </w:r>
      <w:r>
        <w:rPr>
          <w:color w:val="6E6158"/>
        </w:rPr>
        <w:t>developments in multiple states, including Colorado, Texas, and Wyoming.</w:t>
      </w:r>
    </w:p>
    <w:p>
      <w:pPr>
        <w:pStyle w:val="BodyText"/>
        <w:spacing w:line="292" w:lineRule="auto" w:before="124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231008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965pt;width:1.65pt;height:1.65pt;mso-position-horizontal-relative:page;mso-position-vertical-relative:paragraph;z-index:15743488" id="docshape3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venture capital fund in $2 million investment in startup developing solutions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combat climate change.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46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advanced-energy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ww.fennemorelaw.com/people/attorneys/edward-d-ted-white/" TargetMode="External"/><Relationship Id="rId13" Type="http://schemas.openxmlformats.org/officeDocument/2006/relationships/hyperlink" Target="https://www.fennemorelaw.com/contact-us/#denver-2" TargetMode="External"/><Relationship Id="rId14" Type="http://schemas.openxmlformats.org/officeDocument/2006/relationships/hyperlink" Target="mailto:twhite@fennemorelaw.com" TargetMode="External"/><Relationship Id="rId15" Type="http://schemas.openxmlformats.org/officeDocument/2006/relationships/hyperlink" Target="https://www.fennemorelaw.com/people/attorneys/zaki-robbins/" TargetMode="External"/><Relationship Id="rId16" Type="http://schemas.openxmlformats.org/officeDocument/2006/relationships/hyperlink" Target="mailto:zrobbi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2025-03-28T07:41:22Z</dcterms:created>
  <dcterms:modified xsi:type="dcterms:W3CDTF">2025-03-28T07:41:22Z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