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2618" y="763308"/>
                            <a:ext cx="21272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EDWARD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“TED”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WHITE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581" y="2603719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55299" y="2975766"/>
                            <a:ext cx="1402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twhite@fennemorelaw.com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1;top:1762;width:335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EDWARD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“TED”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WHITE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660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12;top:5246;width:2208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twhite@fennemorelaw.com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EDWARD</w:t>
      </w:r>
      <w:r>
        <w:rPr>
          <w:color w:val="FF8100"/>
          <w:spacing w:val="6"/>
        </w:rPr>
        <w:t> </w:t>
      </w:r>
      <w:r>
        <w:rPr>
          <w:color w:val="FF8100"/>
        </w:rPr>
        <w:t>D.</w:t>
      </w:r>
      <w:r>
        <w:rPr>
          <w:color w:val="FF8100"/>
          <w:spacing w:val="7"/>
        </w:rPr>
        <w:t> </w:t>
      </w:r>
      <w:r>
        <w:rPr>
          <w:color w:val="FF8100"/>
        </w:rPr>
        <w:t>"TED"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WHITE</w:t>
      </w:r>
    </w:p>
    <w:p>
      <w:pPr>
        <w:pStyle w:val="BodyText"/>
        <w:spacing w:before="147"/>
        <w:ind w:left="104"/>
      </w:pPr>
      <w:r>
        <w:rPr>
          <w:color w:val="6E6158"/>
        </w:rPr>
        <w:t>Edward</w:t>
      </w:r>
      <w:r>
        <w:rPr>
          <w:color w:val="6E6158"/>
          <w:spacing w:val="10"/>
        </w:rPr>
        <w:t> </w:t>
      </w:r>
      <w:r>
        <w:rPr>
          <w:color w:val="6E6158"/>
        </w:rPr>
        <w:t>D.</w:t>
      </w:r>
      <w:r>
        <w:rPr>
          <w:color w:val="6E6158"/>
          <w:spacing w:val="10"/>
        </w:rPr>
        <w:t> </w:t>
      </w:r>
      <w:r>
        <w:rPr>
          <w:color w:val="6E6158"/>
        </w:rPr>
        <w:t>“Ted”</w:t>
      </w:r>
      <w:r>
        <w:rPr>
          <w:color w:val="6E6158"/>
          <w:spacing w:val="11"/>
        </w:rPr>
        <w:t> </w:t>
      </w:r>
      <w:r>
        <w:rPr>
          <w:color w:val="6E6158"/>
        </w:rPr>
        <w:t>White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firm’s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0"/>
        </w:rPr>
        <w:t> </w:t>
      </w:r>
      <w:r>
        <w:rPr>
          <w:color w:val="6E6158"/>
        </w:rPr>
        <w:t>Energy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Group.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Ted’s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focuses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transactions</w:t>
      </w:r>
      <w:r>
        <w:rPr>
          <w:color w:val="6E6158"/>
          <w:spacing w:val="12"/>
        </w:rPr>
        <w:t> </w:t>
      </w:r>
      <w:r>
        <w:rPr>
          <w:color w:val="6E6158"/>
        </w:rPr>
        <w:t>such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mergers,</w:t>
      </w:r>
      <w:r>
        <w:rPr>
          <w:color w:val="6E6158"/>
          <w:spacing w:val="77"/>
        </w:rPr>
        <w:t> </w:t>
      </w:r>
      <w:r>
        <w:rPr>
          <w:color w:val="6E6158"/>
        </w:rPr>
        <w:t>acquisitions,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financings.</w:t>
      </w:r>
    </w:p>
    <w:p>
      <w:pPr>
        <w:pStyle w:val="BodyText"/>
        <w:spacing w:line="302" w:lineRule="auto" w:before="52"/>
        <w:ind w:left="104" w:right="365"/>
      </w:pPr>
      <w:r>
        <w:rPr>
          <w:color w:val="6E6158"/>
        </w:rPr>
        <w:t>As a strategic partner, Ted helps clients discern opportunities and make strategic connections that</w:t>
      </w:r>
      <w:r>
        <w:rPr>
          <w:color w:val="6E6158"/>
          <w:spacing w:val="27"/>
        </w:rPr>
        <w:t> </w:t>
      </w:r>
      <w:r>
        <w:rPr>
          <w:color w:val="6E6158"/>
        </w:rPr>
        <w:t>add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value.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specific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private</w:t>
      </w:r>
      <w:r>
        <w:rPr>
          <w:color w:val="6E6158"/>
          <w:spacing w:val="27"/>
        </w:rPr>
        <w:t> </w:t>
      </w:r>
      <w:r>
        <w:rPr>
          <w:color w:val="6E6158"/>
        </w:rPr>
        <w:t>capital</w:t>
      </w:r>
      <w:r>
        <w:rPr>
          <w:color w:val="6E6158"/>
          <w:spacing w:val="27"/>
        </w:rPr>
        <w:t> </w:t>
      </w:r>
      <w:r>
        <w:rPr>
          <w:color w:val="6E6158"/>
        </w:rPr>
        <w:t>funds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takes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role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fund</w:t>
      </w:r>
      <w:r>
        <w:rPr>
          <w:color w:val="6E6158"/>
          <w:spacing w:val="13"/>
        </w:rPr>
        <w:t> </w:t>
      </w:r>
      <w:r>
        <w:rPr>
          <w:color w:val="6E6158"/>
        </w:rPr>
        <w:t>formation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handling</w:t>
      </w:r>
      <w:r>
        <w:rPr>
          <w:color w:val="6E6158"/>
          <w:spacing w:val="14"/>
        </w:rPr>
        <w:t> </w:t>
      </w:r>
      <w:r>
        <w:rPr>
          <w:color w:val="6E6158"/>
        </w:rPr>
        <w:t>portfolio</w:t>
      </w:r>
      <w:r>
        <w:rPr>
          <w:color w:val="6E6158"/>
          <w:spacing w:val="13"/>
        </w:rPr>
        <w:t> </w:t>
      </w:r>
      <w:r>
        <w:rPr>
          <w:color w:val="6E6158"/>
        </w:rPr>
        <w:t>acquisitions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dispositions.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365"/>
      </w:pPr>
      <w:r>
        <w:rPr>
          <w:color w:val="6E6158"/>
        </w:rPr>
        <w:t>Ted currently serves as Senior Counselor for a prominent investor and philanthropist’s extensive</w:t>
      </w:r>
      <w:r>
        <w:rPr>
          <w:color w:val="6E6158"/>
          <w:spacing w:val="40"/>
        </w:rPr>
        <w:t> </w:t>
      </w:r>
      <w:r>
        <w:rPr>
          <w:color w:val="6E6158"/>
        </w:rPr>
        <w:t>business, policy, and philanthropic efforts. Ted is also the founder and advisory board chair for</w:t>
      </w:r>
      <w:r>
        <w:rPr>
          <w:color w:val="6E6158"/>
          <w:spacing w:val="40"/>
        </w:rPr>
        <w:t> </w:t>
      </w:r>
      <w:r>
        <w:rPr>
          <w:color w:val="6E6158"/>
        </w:rPr>
        <w:t>Estabrook Funds, a fund of global, multi-strategy absolute return hedge funds, one of the first of</w:t>
      </w:r>
      <w:r>
        <w:rPr>
          <w:color w:val="6E6158"/>
          <w:spacing w:val="80"/>
        </w:rPr>
        <w:t> </w:t>
      </w:r>
      <w:r>
        <w:rPr>
          <w:color w:val="6E6158"/>
        </w:rPr>
        <w:t>its</w:t>
      </w:r>
      <w:r>
        <w:rPr>
          <w:color w:val="6E6158"/>
          <w:spacing w:val="23"/>
        </w:rPr>
        <w:t> </w:t>
      </w:r>
      <w:r>
        <w:rPr>
          <w:color w:val="6E6158"/>
        </w:rPr>
        <w:t>kind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United</w:t>
      </w:r>
      <w:r>
        <w:rPr>
          <w:color w:val="6E6158"/>
          <w:spacing w:val="23"/>
        </w:rPr>
        <w:t> </w:t>
      </w:r>
      <w:r>
        <w:rPr>
          <w:color w:val="6E6158"/>
        </w:rPr>
        <w:t>States.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Limited</w:t>
      </w:r>
      <w:r>
        <w:rPr>
          <w:color w:val="6E6158"/>
          <w:spacing w:val="23"/>
        </w:rPr>
        <w:t> </w:t>
      </w:r>
      <w:r>
        <w:rPr>
          <w:color w:val="6E6158"/>
        </w:rPr>
        <w:t>Partner</w:t>
      </w:r>
      <w:r>
        <w:rPr>
          <w:color w:val="6E6158"/>
          <w:spacing w:val="23"/>
        </w:rPr>
        <w:t> </w:t>
      </w:r>
      <w:r>
        <w:rPr>
          <w:color w:val="6E6158"/>
        </w:rPr>
        <w:t>Advisory</w:t>
      </w:r>
      <w:r>
        <w:rPr>
          <w:color w:val="6E6158"/>
          <w:spacing w:val="23"/>
        </w:rPr>
        <w:t> </w:t>
      </w:r>
      <w:r>
        <w:rPr>
          <w:color w:val="6E6158"/>
        </w:rPr>
        <w:t>Committee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multiple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investment funds and serves on the board of directors or advisory boards of several funds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companies.</w:t>
      </w:r>
    </w:p>
    <w:p>
      <w:pPr>
        <w:pStyle w:val="BodyText"/>
        <w:spacing w:before="186"/>
        <w:ind w:left="104"/>
        <w:jc w:val="both"/>
      </w:pPr>
      <w:r>
        <w:rPr>
          <w:color w:val="6E6158"/>
        </w:rPr>
        <w:t>Ted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arbitrator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complex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2"/>
        </w:rPr>
        <w:t> </w:t>
      </w:r>
      <w:r>
        <w:rPr>
          <w:color w:val="6E6158"/>
        </w:rPr>
        <w:t>disputes</w:t>
      </w:r>
      <w:r>
        <w:rPr>
          <w:color w:val="6E6158"/>
          <w:spacing w:val="11"/>
        </w:rPr>
        <w:t> </w:t>
      </w:r>
      <w:r>
        <w:rPr>
          <w:color w:val="6E6158"/>
        </w:rPr>
        <w:t>through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Arbitration</w:t>
      </w:r>
    </w:p>
    <w:p>
      <w:pPr>
        <w:pStyle w:val="BodyText"/>
        <w:spacing w:line="297" w:lineRule="auto" w:before="52"/>
        <w:ind w:left="104" w:right="639"/>
        <w:jc w:val="both"/>
      </w:pPr>
      <w:r>
        <w:rPr>
          <w:color w:val="6E6158"/>
        </w:rPr>
        <w:t>Association. He has resolved dozens of commercial claims relative to matters such as loans, securities fraud, mergers and acquisitions, professional sports contracts, and other complex business issues.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He is the author of Business Contracts (Bradford Publishing Co. 2010); Business Contracts: A Guide</w:t>
      </w:r>
      <w:r>
        <w:rPr>
          <w:color w:val="6E6158"/>
          <w:spacing w:val="40"/>
        </w:rPr>
        <w:t> </w:t>
      </w:r>
      <w:r>
        <w:rPr>
          <w:color w:val="6E6158"/>
        </w:rPr>
        <w:t>(Bradford</w:t>
      </w:r>
      <w:r>
        <w:rPr>
          <w:color w:val="6E6158"/>
          <w:spacing w:val="31"/>
        </w:rPr>
        <w:t> </w:t>
      </w:r>
      <w:r>
        <w:rPr>
          <w:color w:val="6E6158"/>
        </w:rPr>
        <w:t>Publishing</w:t>
      </w:r>
      <w:r>
        <w:rPr>
          <w:color w:val="6E6158"/>
          <w:spacing w:val="31"/>
        </w:rPr>
        <w:t> </w:t>
      </w:r>
      <w:r>
        <w:rPr>
          <w:color w:val="6E6158"/>
        </w:rPr>
        <w:t>Co.</w:t>
      </w:r>
      <w:r>
        <w:rPr>
          <w:color w:val="6E6158"/>
          <w:spacing w:val="31"/>
        </w:rPr>
        <w:t> </w:t>
      </w:r>
      <w:r>
        <w:rPr>
          <w:color w:val="6E6158"/>
        </w:rPr>
        <w:t>2013);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Contracts: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Guide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Lawyers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</w:p>
    <w:p>
      <w:pPr>
        <w:pStyle w:val="BodyText"/>
        <w:spacing w:before="1"/>
        <w:ind w:left="104"/>
        <w:jc w:val="both"/>
      </w:pPr>
      <w:r>
        <w:rPr>
          <w:color w:val="6E6158"/>
        </w:rPr>
        <w:t>Owners,</w:t>
      </w:r>
      <w:r>
        <w:rPr>
          <w:color w:val="6E6158"/>
          <w:spacing w:val="13"/>
        </w:rPr>
        <w:t> </w: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2025</w:t>
      </w:r>
      <w:r>
        <w:rPr>
          <w:color w:val="6E6158"/>
          <w:spacing w:val="13"/>
        </w:rPr>
        <w:t> </w:t>
      </w:r>
      <w:r>
        <w:rPr>
          <w:color w:val="6E6158"/>
        </w:rPr>
        <w:t>Edition</w:t>
      </w:r>
      <w:r>
        <w:rPr>
          <w:color w:val="6E6158"/>
          <w:spacing w:val="14"/>
        </w:rPr>
        <w:t> </w:t>
      </w:r>
      <w:r>
        <w:rPr>
          <w:color w:val="6E6158"/>
        </w:rPr>
        <w:t>(CBA-</w:t>
      </w:r>
      <w:r>
        <w:rPr>
          <w:color w:val="6E6158"/>
          <w:spacing w:val="-2"/>
        </w:rPr>
        <w:t>CLE).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185"/>
      </w:pPr>
      <w:r>
        <w:rPr>
          <w:color w:val="6E6158"/>
        </w:rPr>
        <w:t>Ted</w:t>
      </w:r>
      <w:r>
        <w:rPr>
          <w:color w:val="6E6158"/>
          <w:spacing w:val="23"/>
        </w:rPr>
        <w:t> </w:t>
      </w:r>
      <w:r>
        <w:rPr>
          <w:color w:val="6E6158"/>
        </w:rPr>
        <w:t>has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strong</w:t>
      </w:r>
      <w:r>
        <w:rPr>
          <w:color w:val="6E6158"/>
          <w:spacing w:val="23"/>
        </w:rPr>
        <w:t> </w:t>
      </w:r>
      <w:r>
        <w:rPr>
          <w:color w:val="6E6158"/>
        </w:rPr>
        <w:t>record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civic</w:t>
      </w:r>
      <w:r>
        <w:rPr>
          <w:color w:val="6E6158"/>
          <w:spacing w:val="23"/>
        </w:rPr>
        <w:t> </w:t>
      </w:r>
      <w:r>
        <w:rPr>
          <w:color w:val="6E6158"/>
        </w:rPr>
        <w:t>leadership.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former</w:t>
      </w:r>
      <w:r>
        <w:rPr>
          <w:color w:val="6E6158"/>
          <w:spacing w:val="23"/>
        </w:rPr>
        <w:t> </w:t>
      </w:r>
      <w:r>
        <w:rPr>
          <w:color w:val="6E6158"/>
        </w:rPr>
        <w:t>Chair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Boettcher</w:t>
      </w:r>
      <w:r>
        <w:rPr>
          <w:color w:val="6E6158"/>
          <w:spacing w:val="23"/>
        </w:rPr>
        <w:t> </w:t>
      </w:r>
      <w:r>
        <w:rPr>
          <w:color w:val="6E6158"/>
        </w:rPr>
        <w:t>Foundation, one of the largest privately endowed grant-making organizations in Colorado, and a former</w:t>
      </w:r>
      <w:r>
        <w:rPr>
          <w:color w:val="6E6158"/>
          <w:spacing w:val="40"/>
        </w:rPr>
        <w:t> </w:t>
      </w:r>
      <w:r>
        <w:rPr>
          <w:color w:val="6E6158"/>
        </w:rPr>
        <w:t>Director of Sustainability Accounting Standards Board Foundation (SASB). He serves as an officer</w:t>
      </w:r>
      <w:r>
        <w:rPr>
          <w:color w:val="6E6158"/>
          <w:spacing w:val="40"/>
        </w:rPr>
        <w:t> </w:t>
      </w:r>
      <w:r>
        <w:rPr>
          <w:color w:val="6E6158"/>
        </w:rPr>
        <w:t>and trustee of many community organizations, including the Rocky Mountain Institute (RMI) and</w:t>
      </w:r>
      <w:r>
        <w:rPr>
          <w:color w:val="6E6158"/>
          <w:spacing w:val="40"/>
        </w:rPr>
        <w:t> </w:t>
      </w:r>
      <w:r>
        <w:rPr>
          <w:color w:val="6E6158"/>
        </w:rPr>
        <w:t>the Advanced Energy Institute.</w:t>
      </w:r>
    </w:p>
    <w:p>
      <w:pPr>
        <w:pStyle w:val="BodyText"/>
        <w:spacing w:line="292" w:lineRule="auto" w:before="195"/>
        <w:ind w:left="104"/>
      </w:pPr>
      <w:r>
        <w:rPr>
          <w:color w:val="6E6158"/>
        </w:rPr>
        <w:t>Ted is a former adjunct professor of law at the University of Colorado School of Law where he</w:t>
      </w:r>
      <w:r>
        <w:rPr>
          <w:color w:val="6E6158"/>
          <w:spacing w:val="40"/>
        </w:rPr>
        <w:t> </w:t>
      </w:r>
      <w:r>
        <w:rPr>
          <w:color w:val="6E6158"/>
        </w:rPr>
        <w:t>designed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taught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popular</w:t>
      </w:r>
      <w:r>
        <w:rPr>
          <w:color w:val="6E6158"/>
          <w:spacing w:val="17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Transactions</w:t>
      </w:r>
      <w:r>
        <w:rPr>
          <w:color w:val="6E6158"/>
          <w:spacing w:val="17"/>
        </w:rPr>
        <w:t> </w:t>
      </w:r>
      <w:r>
        <w:rPr>
          <w:color w:val="6E6158"/>
        </w:rPr>
        <w:t>course.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other</w:t>
      </w:r>
      <w:r>
        <w:rPr>
          <w:color w:val="6E6158"/>
          <w:spacing w:val="17"/>
        </w:rPr>
        <w:t> </w:t>
      </w:r>
      <w:r>
        <w:rPr>
          <w:color w:val="6E6158"/>
        </w:rPr>
        <w:t>teaching</w:t>
      </w:r>
      <w:r>
        <w:rPr>
          <w:color w:val="6E6158"/>
          <w:spacing w:val="17"/>
        </w:rPr>
        <w:t> </w:t>
      </w:r>
      <w:r>
        <w:rPr>
          <w:color w:val="6E6158"/>
        </w:rPr>
        <w:t>efforts</w:t>
      </w:r>
      <w:r>
        <w:rPr>
          <w:color w:val="6E6158"/>
          <w:spacing w:val="17"/>
        </w:rPr>
        <w:t> </w:t>
      </w:r>
      <w:r>
        <w:rPr>
          <w:color w:val="6E6158"/>
        </w:rPr>
        <w:t>include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numerous</w:t>
      </w:r>
      <w:r>
        <w:rPr>
          <w:color w:val="6E6158"/>
          <w:spacing w:val="12"/>
        </w:rPr>
        <w:t> </w:t>
      </w:r>
      <w:r>
        <w:rPr>
          <w:color w:val="6E6158"/>
        </w:rPr>
        <w:t>CLE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courses.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 w:before="1"/>
        <w:ind w:left="104" w:right="365"/>
      </w:pPr>
      <w:r>
        <w:rPr>
          <w:color w:val="6E6158"/>
        </w:rPr>
        <w:t>Before joining Fennemore, Ted was the name partner at the law firm Moye White LLP.</w:t>
      </w:r>
      <w:r>
        <w:rPr>
          <w:color w:val="6E6158"/>
          <w:spacing w:val="74"/>
        </w:rPr>
        <w:t> </w:t>
      </w:r>
      <w:r>
        <w:rPr>
          <w:color w:val="6E6158"/>
        </w:rPr>
        <w:t>Prior to that, he was the President and Managing Director of the law firm Dufford &amp; Brown, P.C.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1998pt;width:1.65pt;height:1.65pt;mso-position-horizontal-relative:page;mso-position-vertical-relative:paragraph;z-index:15729152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3"/>
        </w:rPr>
        <w:t> </w:t>
      </w:r>
      <w:r>
        <w:rPr>
          <w:color w:val="6E6158"/>
        </w:rPr>
        <w:t>New</w:t>
      </w:r>
      <w:r>
        <w:rPr>
          <w:color w:val="6E6158"/>
          <w:spacing w:val="3"/>
        </w:rPr>
        <w:t> </w:t>
      </w:r>
      <w:r>
        <w:rPr>
          <w:color w:val="6E6158"/>
        </w:rPr>
        <w:t>York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04pt;width:1.65pt;height:1.65pt;mso-position-horizontal-relative:page;mso-position-vertical-relative:paragraph;z-index:15729664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distinction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Yale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2"/>
          <w:sz w:val="19"/>
        </w:rPr>
        <w:t>University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right="6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015pt;width:1.65pt;height:1.65pt;mso-position-horizontal-relative:page;mso-position-vertical-relative:paragraph;z-index:15730176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767pt;width:1.65pt;height:1.65pt;mso-position-horizontal-relative:page;mso-position-vertical-relative:paragraph;z-index:15730688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63391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422pt;width:1.65pt;height:1.65pt;mso-position-horizontal-relative:page;mso-position-vertical-relative:paragraph;z-index:15731200" id="docshape18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 w:before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261459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74pt;width:1.65pt;height:1.65pt;mso-position-horizontal-relative:page;mso-position-vertical-relative:paragraph;z-index:15731712" id="docshape19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position w:val="7"/>
          <w:sz w:val="16"/>
        </w:rPr>
        <w:t>®</w:t>
      </w:r>
      <w:r>
        <w:rPr>
          <w:color w:val="6E6158"/>
        </w:rPr>
        <w:t>, Corporate Law and Leveraged Buyouts and Private Equity Law, 2005 – 2025; Mergers and Acquisitions Law 2020 – 2025</w:t>
      </w:r>
    </w:p>
    <w:p>
      <w:pPr>
        <w:pStyle w:val="BodyText"/>
        <w:spacing w:line="420" w:lineRule="auto" w:before="117"/>
        <w:ind w:right="4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138860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33893pt;width:1.65pt;height:1.65pt;mso-position-horizontal-relative:page;mso-position-vertical-relative:paragraph;z-index:15732224" id="docshape20" coordorigin="1675,219" coordsize="33,33" path="m1696,251l1687,251,1683,250,1676,243,1675,239,1675,230,1676,227,1683,220,1687,219,1696,219,1699,220,1706,227,1707,230,1707,235,1707,239,1706,243,1699,250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397226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77643pt;width:1.65pt;height:1.65pt;mso-position-horizontal-relative:page;mso-position-vertical-relative:paragraph;z-index:15732736" id="docshape21" coordorigin="1675,626" coordsize="33,33" path="m1696,658l1687,658,1683,657,1676,650,1675,646,1675,637,1676,633,1683,627,1687,626,1696,626,1699,627,1706,633,1707,637,1707,642,1707,646,1706,650,1699,657,16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655591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621391pt;width:1.65pt;height:1.65pt;mso-position-horizontal-relative:page;mso-position-vertical-relative:paragraph;z-index:15733248" id="docshape22" coordorigin="1675,1032" coordsize="33,33" path="m1696,1065l1687,1065,1683,1063,1676,1057,1675,1053,1675,1044,1676,1040,1683,1034,1687,1032,1696,1032,1699,1034,1706,1040,1707,1044,1707,1049,1707,1053,1706,1057,1699,1063,16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500 Leading U.S. Energy Lawyers, Lawdragon, </w:t>
        </w:r>
        <w:r>
          <w:rPr>
            <w:color w:val="F5821F"/>
          </w:rPr>
          <w:t>2025</w:t>
        </w:r>
      </w:hyperlink>
      <w:r>
        <w:rPr>
          <w:color w:val="F5821F"/>
        </w:rPr>
        <w:t> </w:t>
      </w:r>
      <w:r>
        <w:rPr>
          <w:color w:val="6E6158"/>
        </w:rPr>
        <w:t>Best of the Bar, International Law &amp; Finance, 2005 Business for the Arts Award Finalist 2011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73386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778439pt;width:1.65pt;height:1.65pt;mso-position-horizontal-relative:page;mso-position-vertical-relative:paragraph;z-index:15733760" id="docshape23" coordorigin="1675,116" coordsize="33,33" path="m1696,148l1687,148,1683,147,1676,140,1675,136,1675,127,1676,124,1683,117,1687,116,1696,116,1699,117,1706,124,1707,127,1707,132,1707,136,1706,140,1699,147,1696,1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 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Corporate, 2006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173606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9808pt;width:1.65pt;height:1.65pt;mso-position-horizontal-relative:page;mso-position-vertical-relative:paragraph;z-index:15734272" id="docshape2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Business Journal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Power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Book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Winner,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(Law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Category)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2014;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finalist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2010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line="415" w:lineRule="auto" w:before="162"/>
        <w:ind w:right="3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174025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816pt;width:1.65pt;height:1.65pt;mso-position-horizontal-relative:page;mso-position-vertical-relative:paragraph;z-index:15734784" id="docshape2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432391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6558pt;width:1.65pt;height:1.65pt;mso-position-horizontal-relative:page;mso-position-vertical-relative:paragraph;z-index:15735296" id="docshape26" coordorigin="1675,681" coordsize="33,33" path="m1696,713l1687,713,1683,712,1676,706,1675,702,1675,693,1676,689,1683,683,1687,681,1696,681,1699,683,1706,689,1707,693,1707,697,1707,702,1706,706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Who’s Who in Energy, 2017 – 2019 Denver Five Star Wealth Manager, 5280 Magazine, 2011 – </w:t>
      </w:r>
      <w:r>
        <w:rPr>
          <w:color w:val="6E6158"/>
        </w:rPr>
        <w:t>2013</w:t>
      </w:r>
    </w:p>
    <w:p>
      <w:pPr>
        <w:spacing w:line="240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62594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8689pt;width:1.65pt;height:1.65pt;mso-position-horizontal-relative:page;mso-position-vertical-relative:paragraph;z-index:15735808" id="docshape27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“Barrister’s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Best”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Mergers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2019,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173810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839pt;width:1.65pt;height:1.65pt;mso-position-horizontal-relative:page;mso-position-vertical-relative:paragraph;z-index:15736320" id="docshape2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Private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Equity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2013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173594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884pt;width:1.65pt;height:1.65pt;mso-position-horizontal-relative:page;mso-position-vertical-relative:paragraph;z-index:15736832" id="docshape2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Week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pacing w:val="-2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Lawyer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184348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5609pt;width:1.65pt;height:1.65pt;mso-position-horizontal-relative:page;mso-position-vertical-relative:paragraph;z-index:15737344" id="docshape30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4"/>
        </w:rPr>
        <w:t> </w:t>
      </w:r>
      <w:r>
        <w:rPr>
          <w:color w:val="6E6158"/>
        </w:rPr>
        <w:t>Rating:</w:t>
      </w:r>
      <w:r>
        <w:rPr>
          <w:color w:val="6E6158"/>
          <w:spacing w:val="15"/>
        </w:rPr>
        <w:t> </w: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4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(highest)</w:t>
      </w:r>
    </w:p>
    <w:p>
      <w:pPr>
        <w:pStyle w:val="BodyText"/>
        <w:spacing w:line="420" w:lineRule="auto" w:before="174"/>
        <w:ind w:right="2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169979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18pt;width:1.65pt;height:1.65pt;mso-position-horizontal-relative:page;mso-position-vertical-relative:paragraph;z-index:15737856" id="docshape3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433511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796pt;width:1.65pt;height:1.65pt;mso-position-horizontal-relative:page;mso-position-vertical-relative:paragraph;z-index:15738368" id="docshape32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691877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8561pt;width:1.65pt;height:1.65pt;mso-position-horizontal-relative:page;mso-position-vertical-relative:paragraph;z-index:15738880" id="docshape33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 Rating: AV® Preeminent™ (highest) – Judicial </w:t>
      </w:r>
      <w:r>
        <w:rPr>
          <w:color w:val="6E6158"/>
        </w:rPr>
        <w:t>Edition National Law Journal Trailblazer in Energy/Environmental Law 2021</w:t>
      </w:r>
      <w:r>
        <w:rPr>
          <w:color w:val="6E6158"/>
          <w:spacing w:val="40"/>
        </w:rPr>
        <w:t> </w:t>
      </w:r>
      <w:r>
        <w:rPr>
          <w:color w:val="6E6158"/>
        </w:rPr>
        <w:t>Healing Hands Award Recipient, Judi’s House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3" w:lineRule="auto" w:before="147"/>
        <w:ind w:right="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245636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1450pt;width:1.65pt;height:1.65pt;mso-position-horizontal-relative:page;mso-position-vertical-relative:paragraph;z-index:15739392" id="docshape34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Q&amp;A: Lawyers Ted White and Dan Reilly reflect on Fennemore’s expansion and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future footprint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March 1, 2025</w:t>
      </w:r>
    </w:p>
    <w:p>
      <w:pPr>
        <w:pStyle w:val="BodyText"/>
        <w:spacing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145376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46993pt;width:1.65pt;height:1.65pt;mso-position-horizontal-relative:page;mso-position-vertical-relative:paragraph;z-index:15739904" id="docshape35" coordorigin="1675,229" coordsize="33,33" path="m1696,261l1687,261,1683,260,1676,254,1675,250,1675,241,1676,237,1683,231,1687,229,1696,229,1699,231,1706,237,1707,241,1707,245,1707,250,1706,254,1699,260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“Moye</w:t>
      </w:r>
      <w:r>
        <w:rPr>
          <w:color w:val="6E6158"/>
          <w:spacing w:val="9"/>
        </w:rPr>
        <w:t> </w:t>
      </w:r>
      <w:r>
        <w:rPr>
          <w:color w:val="6E6158"/>
        </w:rPr>
        <w:t>White’s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Managing</w:t>
      </w:r>
      <w:r>
        <w:rPr>
          <w:color w:val="6E6158"/>
          <w:spacing w:val="9"/>
        </w:rPr>
        <w:t> </w:t>
      </w:r>
      <w:r>
        <w:rPr>
          <w:color w:val="6E6158"/>
        </w:rPr>
        <w:t>Partner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Firm</w:t>
      </w:r>
      <w:r>
        <w:rPr>
          <w:color w:val="6E6158"/>
          <w:spacing w:val="9"/>
        </w:rPr>
        <w:t> </w:t>
      </w:r>
      <w:r>
        <w:rPr>
          <w:color w:val="6E6158"/>
        </w:rPr>
        <w:t>Strategy,”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Law360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Pulse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August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78" w:lineRule="auto" w:before="170"/>
        <w:ind w:right="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266747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3736pt;width:1.65pt;height:1.65pt;mso-position-horizontal-relative:page;mso-position-vertical-relative:paragraph;z-index:15740416" id="docshape36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“Advanced Energy Success Depends on Interdisciplinary Team,” </w:t>
      </w:r>
      <w:r>
        <w:rPr>
          <w:i/>
          <w:color w:val="6E6158"/>
          <w:sz w:val="20"/>
        </w:rPr>
        <w:t>Law Week</w:t>
      </w:r>
      <w:r>
        <w:rPr>
          <w:i/>
          <w:color w:val="6E6158"/>
          <w:sz w:val="20"/>
        </w:rPr>
        <w:t> Colorado</w:t>
      </w:r>
      <w:r>
        <w:rPr>
          <w:color w:val="6E6158"/>
        </w:rPr>
        <w:t>, December 2019</w:t>
      </w:r>
    </w:p>
    <w:p>
      <w:pPr>
        <w:spacing w:line="288" w:lineRule="auto" w:before="123"/>
        <w:ind w:left="356" w:right="3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236768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43198pt;width:1.65pt;height:1.65pt;mso-position-horizontal-relative:page;mso-position-vertical-relative:paragraph;z-index:15740928" id="docshape37" coordorigin="1675,373" coordsize="33,33" path="m1696,405l1687,405,1683,404,1676,397,1675,394,1675,385,1676,381,1683,374,1687,373,1696,373,1699,374,1706,381,1707,385,1707,389,1707,394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“Clean Energy Powers Colorado’s Economy,” </w:t>
      </w:r>
      <w:r>
        <w:rPr>
          <w:i/>
          <w:color w:val="6E6158"/>
          <w:sz w:val="20"/>
        </w:rPr>
        <w:t>ColoradoBiz 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October </w:t>
      </w:r>
      <w:r>
        <w:rPr>
          <w:color w:val="6E6158"/>
          <w:spacing w:val="-4"/>
          <w:sz w:val="19"/>
        </w:rPr>
        <w:t>2018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440" id="docshape3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Contracts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Education,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302" w:lineRule="auto" w:before="174"/>
        <w:ind w:right="4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41952" id="docshape3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“Business Contracts: A Guide for Lawyers and Business Owners,” CLE and </w:t>
      </w:r>
      <w:r>
        <w:rPr>
          <w:color w:val="6E6158"/>
        </w:rPr>
        <w:t>Colorado, Inc. 2013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4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157959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768pt;width:1.65pt;height:1.65pt;mso-position-horizontal-relative:page;mso-position-vertical-relative:paragraph;z-index:15742464" id="docshape4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416325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517pt;width:1.65pt;height:1.65pt;mso-position-horizontal-relative:page;mso-position-vertical-relative:paragraph;z-index:15742976" id="docshape4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Advanced Energy Institute </w:t>
      </w:r>
      <w:r>
        <w:rPr>
          <w:color w:val="6E6158"/>
        </w:rPr>
        <w:t>(AEI) Former Vice President, Ally Law</w:t>
      </w:r>
    </w:p>
    <w:p>
      <w:pPr>
        <w:pStyle w:val="BodyText"/>
        <w:spacing w:line="422" w:lineRule="auto"/>
        <w:ind w:right="3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63605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299pt;width:1.65pt;height:1.65pt;mso-position-horizontal-relative:page;mso-position-vertical-relative:paragraph;z-index:15743488" id="docshape4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321971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2049pt;width:1.65pt;height:1.65pt;mso-position-horizontal-relative:page;mso-position-vertical-relative:paragraph;z-index:15744000" id="docshape4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585503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02673pt;width:1.65pt;height:1.65pt;mso-position-horizontal-relative:page;mso-position-vertical-relative:paragraph;z-index:15744512" id="docshape44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843869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6419pt;width:1.65pt;height:1.65pt;mso-position-horizontal-relative:page;mso-position-vertical-relative:paragraph;z-index:15745024" id="docshape45" coordorigin="1675,1329" coordsize="33,33" path="m1696,1361l1687,1361,1683,1360,1676,1354,1675,1350,1675,1341,1676,1337,1683,1331,1687,1329,1696,1329,1699,1331,1706,1337,1707,1341,1707,1345,1707,1350,1706,1354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Trustee and Board Chair, Boettcher Foundation Corporate Code Committee, Colorado Bar Association Nonprofit Corporation Committee, Colorado Bar </w:t>
      </w:r>
      <w:r>
        <w:rPr>
          <w:color w:val="6E6158"/>
        </w:rPr>
        <w:t>Association The Colorado Forum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60837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90326pt;width:1.65pt;height:1.65pt;mso-position-horizontal-relative:page;mso-position-vertical-relative:paragraph;z-index:15745536" id="docshape46" coordorigin="1675,96" coordsize="33,33" path="m1696,128l1687,128,1683,127,1676,120,1675,117,1675,108,1676,104,1683,97,1687,96,1696,96,1699,97,1706,104,1707,108,1707,112,1707,117,1706,120,1699,127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174045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4355pt;width:1.65pt;height:1.65pt;mso-position-horizontal-relative:page;mso-position-vertical-relative:paragraph;z-index:15746048" id="docshape4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175352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275pt;width:1.65pt;height:1.65pt;mso-position-horizontal-relative:page;mso-position-vertical-relative:paragraph;z-index:15746560" id="docshape4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Columbia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2" w:lineRule="auto" w:before="174"/>
        <w:ind w:right="4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175302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317pt;width:1.65pt;height:1.65pt;mso-position-horizontal-relative:page;mso-position-vertical-relative:paragraph;z-index:15747072" id="docshape4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433667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068pt;width:1.65pt;height:1.65pt;mso-position-horizontal-relative:page;mso-position-vertical-relative:paragraph;z-index:15747584" id="docshape50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692033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0814pt;width:1.65pt;height:1.65pt;mso-position-horizontal-relative:page;mso-position-vertical-relative:paragraph;z-index:15748096" id="docshape51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Chair, Biennial of the Americas</w:t>
      </w:r>
      <w:r>
        <w:rPr>
          <w:color w:val="6E6158"/>
          <w:spacing w:val="40"/>
        </w:rPr>
        <w:t> </w:t>
      </w:r>
      <w:r>
        <w:rPr>
          <w:color w:val="6E6158"/>
        </w:rPr>
        <w:t>Former Board Chair, Rocky Mountain Institute </w:t>
      </w:r>
      <w:r>
        <w:rPr>
          <w:color w:val="6E6158"/>
        </w:rPr>
        <w:t>(RMI) Board of Advisors, Blackhorn Ventures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64027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1558pt;width:1.65pt;height:1.65pt;mso-position-horizontal-relative:page;mso-position-vertical-relative:paragraph;z-index:15748608" id="docshape52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Trustee,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History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line="427" w:lineRule="auto" w:before="174"/>
        <w:ind w:right="3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175252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373pt;width:1.65pt;height:1.65pt;mso-position-horizontal-relative:page;mso-position-vertical-relative:paragraph;z-index:15749120" id="docshape5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433617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124pt;width:1.65pt;height:1.65pt;mso-position-horizontal-relative:page;mso-position-vertical-relative:paragraph;z-index:15749632" id="docshape54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Trustee and Officer, Denver Botanic </w:t>
      </w:r>
      <w:r>
        <w:rPr>
          <w:color w:val="6E6158"/>
        </w:rPr>
        <w:t>Gardens LPAC Member, Earthshot Ventures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60044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925pt;width:1.65pt;height:1.65pt;mso-position-horizontal-relative:page;mso-position-vertical-relative:paragraph;z-index:15750144" id="docshape55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</w:t>
      </w:r>
      <w:r>
        <w:rPr>
          <w:color w:val="6E6158"/>
          <w:spacing w:val="6"/>
        </w:rPr>
        <w:t> </w:t>
      </w:r>
      <w:r>
        <w:rPr>
          <w:color w:val="6E6158"/>
        </w:rPr>
        <w:t>Counselor,</w:t>
      </w:r>
      <w:r>
        <w:rPr>
          <w:color w:val="6E6158"/>
          <w:spacing w:val="7"/>
        </w:rPr>
        <w:t> </w:t>
      </w:r>
      <w:r>
        <w:rPr>
          <w:color w:val="6E6158"/>
        </w:rPr>
        <w:t>Fahr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LLC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175201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403pt;width:1.65pt;height:1.65pt;mso-position-horizontal-relative:page;mso-position-vertical-relative:paragraph;z-index:15750656" id="docshape56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Finite</w:t>
      </w:r>
      <w:r>
        <w:rPr>
          <w:color w:val="6E6158"/>
          <w:spacing w:val="13"/>
        </w:rPr>
        <w:t> </w:t>
      </w:r>
      <w:r>
        <w:rPr>
          <w:color w:val="6E6158"/>
        </w:rPr>
        <w:t>Corporation,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Inc.</w:t>
      </w:r>
    </w:p>
    <w:p>
      <w:pPr>
        <w:pStyle w:val="BodyText"/>
        <w:spacing w:before="1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175151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44pt;width:1.65pt;height:1.65pt;mso-position-horizontal-relative:page;mso-position-vertical-relative:paragraph;z-index:15751168" id="docshape5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President,</w:t>
      </w:r>
      <w:r>
        <w:rPr>
          <w:color w:val="6E6158"/>
          <w:spacing w:val="15"/>
        </w:rPr>
        <w:t> </w:t>
      </w:r>
      <w:r>
        <w:rPr>
          <w:color w:val="6E6158"/>
        </w:rPr>
        <w:t>Graland</w:t>
      </w:r>
      <w:r>
        <w:rPr>
          <w:color w:val="6E6158"/>
          <w:spacing w:val="14"/>
        </w:rPr>
        <w:t> </w:t>
      </w:r>
      <w:r>
        <w:rPr>
          <w:color w:val="6E6158"/>
        </w:rPr>
        <w:t>Country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82"/>
        <w:ind w:right="2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175100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478pt;width:1.65pt;height:1.65pt;mso-position-horizontal-relative:page;mso-position-vertical-relative:paragraph;z-index:15751680" id="docshape5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438634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8116pt;width:1.65pt;height:1.65pt;mso-position-horizontal-relative:page;mso-position-vertical-relative:paragraph;z-index:15752192" id="docshape59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Board Member, Judi’s House and Judith Ann Griese </w:t>
      </w:r>
      <w:r>
        <w:rPr>
          <w:color w:val="6E6158"/>
        </w:rPr>
        <w:t>Foundation Former Board Member, Kent Denver School</w:t>
      </w:r>
    </w:p>
    <w:p>
      <w:pPr>
        <w:pStyle w:val="BodyText"/>
        <w:spacing w:line="422" w:lineRule="auto"/>
        <w:ind w:right="48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63689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893pt;width:1.65pt;height:1.65pt;mso-position-horizontal-relative:page;mso-position-vertical-relative:paragraph;z-index:15752704" id="docshape6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322054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637pt;width:1.65pt;height:1.65pt;mso-position-horizontal-relative:page;mso-position-vertical-relative:paragraph;z-index:15753216" id="docshape6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580420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2404pt;width:1.65pt;height:1.65pt;mso-position-horizontal-relative:page;mso-position-vertical-relative:paragraph;z-index:15753728" id="docshape62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Board of Directors, NextGen </w:t>
      </w:r>
      <w:r>
        <w:rPr>
          <w:color w:val="6E6158"/>
        </w:rPr>
        <w:t>America LPAC Member, Power Sustainable Lios Fund LPAC Member, Roha Group Inc.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62904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135pt;width:1.65pt;height:1.65pt;mso-position-horizontal-relative:page;mso-position-vertical-relative:paragraph;z-index:15754240" id="docshape6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</w:t>
      </w:r>
      <w:r>
        <w:rPr>
          <w:color w:val="6E6158"/>
          <w:spacing w:val="7"/>
        </w:rPr>
        <w:t> </w:t>
      </w:r>
      <w:r>
        <w:rPr>
          <w:color w:val="6E6158"/>
        </w:rPr>
        <w:t>Advisor,</w:t>
      </w:r>
      <w:r>
        <w:rPr>
          <w:color w:val="6E6158"/>
          <w:spacing w:val="8"/>
        </w:rPr>
        <w:t> </w:t>
      </w:r>
      <w:r>
        <w:rPr>
          <w:color w:val="6E6158"/>
        </w:rPr>
        <w:t>SidePorch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Consulting</w:t>
      </w:r>
    </w:p>
    <w:p>
      <w:pPr>
        <w:pStyle w:val="BodyText"/>
        <w:spacing w:before="17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174128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10931pt;width:1.65pt;height:1.65pt;mso-position-horizontal-relative:page;mso-position-vertical-relative:paragraph;z-index:15754752" id="docshape6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Licensed</w:t>
      </w:r>
      <w:r>
        <w:rPr>
          <w:color w:val="6E6158"/>
          <w:spacing w:val="11"/>
        </w:rPr>
        <w:t> </w:t>
      </w:r>
      <w:r>
        <w:rPr>
          <w:color w:val="6E6158"/>
        </w:rPr>
        <w:t>Broker,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Commission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(Inactive)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152907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954pt;width:1.65pt;height:1.65pt;mso-position-horizontal-relative:page;mso-position-vertical-relative:paragraph;z-index:15755264" id="docshape6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175169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865pt;width:1.65pt;height:1.65pt;mso-position-horizontal-relative:page;mso-position-vertical-relative:paragraph;z-index:15755776" id="docshape6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twhite@fennemorelaw.com" TargetMode="External"/><Relationship Id="rId12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3" Type="http://schemas.openxmlformats.org/officeDocument/2006/relationships/hyperlink" Target="https://www.bizjournals.com/denver/news/2025/03/01/lawyers-ted-white-dan-reilly-fennemore-expansion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2025-03-21T23:13:59Z</dcterms:created>
  <dcterms:modified xsi:type="dcterms:W3CDTF">2025-03-21T23:13:59Z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