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4366895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366895"/>
                          <a:chExt cx="6066790" cy="436689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628139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1159" w:right="115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employee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benefits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practice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group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offers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advising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aspects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employee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benefits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brings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first-chair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clients’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employee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benefits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needs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at highly competitive billing rates. Our senior employment attorneys are active and recognized in both the local and national employee benefits communities, and have developed significant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contacts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IRS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U.S.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Department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Labor,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locally,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regionally,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nationally.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64367" y="1673361"/>
                            <a:ext cx="4950460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2759" w:right="0" w:hanging="276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extensive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practice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counseling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employers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aspects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of employee benefits.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42873" y="968386"/>
                            <a:ext cx="239395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Employee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Benefits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43.85pt;mso-position-horizontal-relative:char;mso-position-vertical-relative:line" id="docshapegroup1" coordorigin="0,0" coordsize="9554,6877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2564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1159" w:right="115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employee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benefits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practice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group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offers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advising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aspects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of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employee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benefits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brings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first-chair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clients’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employee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benefits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needs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at highly competitive billing rates. Our senior employment attorneys are active and recognized in both the local and national employee benefits communities, and have developed significant </w:t>
                        </w:r>
                        <w:r>
                          <w:rPr>
                            <w:color w:val="FFFFFF"/>
                            <w:sz w:val="16"/>
                          </w:rPr>
                          <w:t>contacts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IRS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U.S.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Department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Labor,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locally,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regionally,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nationally.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88;top:2635;width:7796;height:557" type="#_x0000_t202" id="docshape6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2759" w:right="0" w:hanging="27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have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extensive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practice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counseling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employers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on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all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aspects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of employee benefits.</w:t>
                        </w:r>
                      </w:p>
                    </w:txbxContent>
                  </v:textbox>
                  <w10:wrap type="none"/>
                </v:shape>
                <v:shape style="position:absolute;left:2902;top:1525;width:3770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Employee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Benefits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188"/>
        <w:ind w:left="0" w:right="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38"/>
        <w:ind w:left="0"/>
        <w:rPr>
          <w:b/>
          <w:sz w:val="20"/>
        </w:rPr>
      </w:pPr>
    </w:p>
    <w:p>
      <w:pPr>
        <w:spacing w:before="0"/>
        <w:ind w:left="5859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-21680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ERISA</w:t>
        </w:r>
      </w:hyperlink>
    </w:p>
    <w:p>
      <w:pPr>
        <w:pStyle w:val="BodyText"/>
        <w:spacing w:before="45"/>
        <w:ind w:left="0"/>
        <w:rPr>
          <w:sz w:val="16"/>
        </w:rPr>
      </w:pPr>
    </w:p>
    <w:p>
      <w:pPr>
        <w:spacing w:line="218" w:lineRule="auto" w:before="0"/>
        <w:ind w:left="5859" w:right="2697" w:firstLine="0"/>
        <w:jc w:val="left"/>
        <w:rPr>
          <w:sz w:val="16"/>
        </w:rPr>
      </w:pPr>
      <w:hyperlink r:id="rId10">
        <w:r>
          <w:rPr>
            <w:sz w:val="16"/>
          </w:rPr>
          <w:t>EMPLOYMENT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10">
        <w:r>
          <w:rPr>
            <w:spacing w:val="-2"/>
            <w:sz w:val="16"/>
          </w:rPr>
          <w:t>LABOR</w:t>
        </w:r>
      </w:hyperlink>
    </w:p>
    <w:p>
      <w:pPr>
        <w:pStyle w:val="BodyText"/>
        <w:spacing w:before="26"/>
        <w:ind w:left="0"/>
        <w:rPr>
          <w:sz w:val="16"/>
        </w:rPr>
      </w:pPr>
    </w:p>
    <w:p>
      <w:pPr>
        <w:spacing w:line="191" w:lineRule="exact" w:before="1"/>
        <w:ind w:left="5859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Ryan</w:t>
        </w:r>
        <w:r>
          <w:rPr>
            <w:b/>
            <w:spacing w:val="2"/>
            <w:sz w:val="16"/>
          </w:rPr>
          <w:t> </w:t>
        </w:r>
        <w:r>
          <w:rPr>
            <w:b/>
            <w:sz w:val="16"/>
          </w:rPr>
          <w:t>C.</w:t>
        </w:r>
        <w:r>
          <w:rPr>
            <w:b/>
            <w:spacing w:val="3"/>
            <w:sz w:val="16"/>
          </w:rPr>
          <w:t> </w:t>
        </w:r>
        <w:r>
          <w:rPr>
            <w:b/>
            <w:spacing w:val="-2"/>
            <w:sz w:val="16"/>
          </w:rPr>
          <w:t>Curtis</w:t>
        </w:r>
      </w:hyperlink>
    </w:p>
    <w:p>
      <w:pPr>
        <w:spacing w:line="142" w:lineRule="exact" w:before="0"/>
        <w:ind w:left="5859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2"/>
        <w:ind w:left="5859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602.916.5426</w:t>
      </w:r>
    </w:p>
    <w:p>
      <w:pPr>
        <w:spacing w:before="7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602.916.5626</w:t>
      </w:r>
    </w:p>
    <w:p>
      <w:pPr>
        <w:spacing w:line="266" w:lineRule="auto" w:before="16"/>
        <w:ind w:left="5859" w:right="2697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rcurtis@fennemorela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pStyle w:val="BodyText"/>
        <w:spacing w:before="259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OUR</w:t>
      </w:r>
      <w:r>
        <w:rPr>
          <w:color w:val="FF8100"/>
          <w:spacing w:val="5"/>
        </w:rPr>
        <w:t> </w:t>
      </w:r>
      <w:r>
        <w:rPr>
          <w:color w:val="FF8100"/>
          <w:spacing w:val="-4"/>
        </w:rPr>
        <w:t>TEAM</w:t>
      </w:r>
    </w:p>
    <w:p>
      <w:pPr>
        <w:pStyle w:val="BodyText"/>
        <w:spacing w:line="295" w:lineRule="auto" w:before="147"/>
        <w:ind w:right="508"/>
      </w:pPr>
      <w:hyperlink r:id="rId14">
        <w:r>
          <w:rPr>
            <w:color w:val="FF8100"/>
          </w:rPr>
          <w:t>Ryan Curtis</w:t>
        </w:r>
      </w:hyperlink>
      <w:r>
        <w:rPr>
          <w:color w:val="FF8100"/>
        </w:rPr>
        <w:t> </w:t>
      </w:r>
      <w:r>
        <w:rPr>
          <w:color w:val="6E6158"/>
        </w:rPr>
        <w:t>(practice group chair) has handled numerous Employee Retirement Income </w:t>
      </w:r>
      <w:r>
        <w:rPr>
          <w:color w:val="6E6158"/>
        </w:rPr>
        <w:t>Security</w:t>
      </w:r>
      <w:r>
        <w:rPr>
          <w:color w:val="6E6158"/>
          <w:spacing w:val="40"/>
        </w:rPr>
        <w:t> </w:t>
      </w:r>
      <w:r>
        <w:rPr>
          <w:color w:val="6E6158"/>
        </w:rPr>
        <w:t>Act (ERISA) litigation matters regarding benefit disputes, unpaid employer contributions, and</w:t>
      </w:r>
      <w:r>
        <w:rPr>
          <w:color w:val="6E6158"/>
          <w:spacing w:val="40"/>
        </w:rPr>
        <w:t> </w:t>
      </w:r>
      <w:r>
        <w:rPr>
          <w:color w:val="6E6158"/>
        </w:rPr>
        <w:t>multiemployer</w:t>
      </w:r>
      <w:r>
        <w:rPr>
          <w:color w:val="6E6158"/>
          <w:spacing w:val="32"/>
        </w:rPr>
        <w:t> </w:t>
      </w:r>
      <w:r>
        <w:rPr>
          <w:color w:val="6E6158"/>
        </w:rPr>
        <w:t>plan</w:t>
      </w:r>
      <w:r>
        <w:rPr>
          <w:color w:val="6E6158"/>
          <w:spacing w:val="32"/>
        </w:rPr>
        <w:t> </w:t>
      </w:r>
      <w:r>
        <w:rPr>
          <w:color w:val="6E6158"/>
        </w:rPr>
        <w:t>withdrawal</w:t>
      </w:r>
      <w:r>
        <w:rPr>
          <w:color w:val="6E6158"/>
          <w:spacing w:val="32"/>
        </w:rPr>
        <w:t> </w:t>
      </w:r>
      <w:r>
        <w:rPr>
          <w:color w:val="6E6158"/>
        </w:rPr>
        <w:t>liability</w:t>
      </w:r>
      <w:r>
        <w:rPr>
          <w:color w:val="6E6158"/>
          <w:spacing w:val="32"/>
        </w:rPr>
        <w:t> </w:t>
      </w:r>
      <w:r>
        <w:rPr>
          <w:color w:val="6E6158"/>
        </w:rPr>
        <w:t>matters.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advises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defends</w:t>
      </w:r>
      <w:r>
        <w:rPr>
          <w:color w:val="6E6158"/>
          <w:spacing w:val="32"/>
        </w:rPr>
        <w:t> </w:t>
      </w:r>
      <w:r>
        <w:rPr>
          <w:color w:val="6E6158"/>
        </w:rPr>
        <w:t>plans</w:t>
      </w:r>
      <w:r>
        <w:rPr>
          <w:color w:val="6E6158"/>
          <w:spacing w:val="32"/>
        </w:rPr>
        <w:t> </w:t>
      </w:r>
      <w:r>
        <w:rPr>
          <w:color w:val="6E6158"/>
        </w:rPr>
        <w:t>during</w:t>
      </w:r>
      <w:r>
        <w:rPr>
          <w:color w:val="6E6158"/>
          <w:spacing w:val="32"/>
        </w:rPr>
        <w:t> </w:t>
      </w:r>
      <w:r>
        <w:rPr>
          <w:color w:val="6E6158"/>
        </w:rPr>
        <w:t>audits</w:t>
      </w:r>
      <w:r>
        <w:rPr>
          <w:color w:val="6E6158"/>
          <w:spacing w:val="32"/>
        </w:rPr>
        <w:t> </w:t>
      </w:r>
      <w:r>
        <w:rPr>
          <w:color w:val="6E6158"/>
        </w:rPr>
        <w:t>by the</w:t>
      </w:r>
      <w:r>
        <w:rPr>
          <w:color w:val="6E6158"/>
          <w:spacing w:val="26"/>
        </w:rPr>
        <w:t> </w:t>
      </w:r>
      <w:r>
        <w:rPr>
          <w:color w:val="6E6158"/>
        </w:rPr>
        <w:t>IRS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U.S.</w:t>
      </w:r>
      <w:r>
        <w:rPr>
          <w:color w:val="6E6158"/>
          <w:spacing w:val="26"/>
        </w:rPr>
        <w:t> </w:t>
      </w:r>
      <w:r>
        <w:rPr>
          <w:color w:val="6E6158"/>
        </w:rPr>
        <w:t>Department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Labor.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helps</w:t>
      </w:r>
      <w:r>
        <w:rPr>
          <w:color w:val="6E6158"/>
          <w:spacing w:val="26"/>
        </w:rPr>
        <w:t> </w:t>
      </w:r>
      <w:r>
        <w:rPr>
          <w:color w:val="6E6158"/>
        </w:rPr>
        <w:t>plans</w:t>
      </w:r>
      <w:r>
        <w:rPr>
          <w:color w:val="6E6158"/>
          <w:spacing w:val="26"/>
        </w:rPr>
        <w:t> </w:t>
      </w:r>
      <w:r>
        <w:rPr>
          <w:color w:val="6E6158"/>
        </w:rPr>
        <w:t>comply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important</w:t>
      </w:r>
      <w:r>
        <w:rPr>
          <w:color w:val="6E6158"/>
          <w:spacing w:val="26"/>
        </w:rPr>
        <w:t> </w:t>
      </w:r>
      <w:r>
        <w:rPr>
          <w:color w:val="6E6158"/>
        </w:rPr>
        <w:t>federal</w:t>
      </w:r>
      <w:r>
        <w:rPr>
          <w:color w:val="6E6158"/>
          <w:spacing w:val="26"/>
        </w:rPr>
        <w:t> </w:t>
      </w:r>
      <w:r>
        <w:rPr>
          <w:color w:val="6E6158"/>
        </w:rPr>
        <w:t>laws including ERISA, the Affordable Care Act (ACA) and Health Insurance Portability and Accountability Act (HIPAA). He assists plans with compliance failures and submitting correction</w:t>
      </w:r>
      <w:r>
        <w:rPr>
          <w:color w:val="6E6158"/>
          <w:spacing w:val="40"/>
        </w:rPr>
        <w:t> </w:t>
      </w:r>
      <w:r>
        <w:rPr>
          <w:color w:val="6E6158"/>
        </w:rPr>
        <w:t>applications to the IRS.</w:t>
      </w:r>
    </w:p>
    <w:p>
      <w:pPr>
        <w:pStyle w:val="BodyText"/>
        <w:spacing w:line="295" w:lineRule="auto" w:before="199"/>
        <w:ind w:right="780"/>
      </w:pPr>
      <w:r>
        <w:rPr>
          <w:color w:val="6E6158"/>
        </w:rPr>
        <w:t>Our employment attorneys routinely advise clients on issues arising under ERISA and tax</w:t>
      </w:r>
      <w:r>
        <w:rPr>
          <w:color w:val="6E6158"/>
          <w:spacing w:val="40"/>
        </w:rPr>
        <w:t> </w:t>
      </w:r>
      <w:r>
        <w:rPr>
          <w:color w:val="6E6158"/>
        </w:rPr>
        <w:t>implications relating to various benefits found in the Internal Revenue Code (Code). Our</w:t>
      </w:r>
      <w:r>
        <w:rPr>
          <w:color w:val="6E6158"/>
          <w:spacing w:val="40"/>
        </w:rPr>
        <w:t> </w:t>
      </w:r>
      <w:r>
        <w:rPr>
          <w:color w:val="6E6158"/>
        </w:rPr>
        <w:t>practice has a range of experienced employment law attorneys and paralegals so we </w:t>
      </w:r>
      <w:r>
        <w:rPr>
          <w:color w:val="6E6158"/>
        </w:rPr>
        <w:t>can</w:t>
      </w:r>
      <w:r>
        <w:rPr>
          <w:color w:val="6E6158"/>
          <w:spacing w:val="40"/>
        </w:rPr>
        <w:t> </w:t>
      </w:r>
      <w:r>
        <w:rPr>
          <w:color w:val="6E6158"/>
        </w:rPr>
        <w:t>properly</w:t>
      </w:r>
      <w:r>
        <w:rPr>
          <w:color w:val="6E6158"/>
          <w:spacing w:val="27"/>
        </w:rPr>
        <w:t> </w:t>
      </w:r>
      <w:r>
        <w:rPr>
          <w:color w:val="6E6158"/>
        </w:rPr>
        <w:t>staff</w:t>
      </w:r>
      <w:r>
        <w:rPr>
          <w:color w:val="6E6158"/>
          <w:spacing w:val="27"/>
        </w:rPr>
        <w:t> </w:t>
      </w:r>
      <w:r>
        <w:rPr>
          <w:color w:val="6E6158"/>
        </w:rPr>
        <w:t>benefit</w:t>
      </w:r>
      <w:r>
        <w:rPr>
          <w:color w:val="6E6158"/>
          <w:spacing w:val="27"/>
        </w:rPr>
        <w:t> </w:t>
      </w:r>
      <w:r>
        <w:rPr>
          <w:color w:val="6E6158"/>
        </w:rPr>
        <w:t>matters</w:t>
      </w:r>
      <w:r>
        <w:rPr>
          <w:color w:val="6E6158"/>
          <w:spacing w:val="27"/>
        </w:rPr>
        <w:t> </w:t>
      </w:r>
      <w:r>
        <w:rPr>
          <w:color w:val="6E6158"/>
        </w:rPr>
        <w:t>—</w:t>
      </w:r>
      <w:r>
        <w:rPr>
          <w:color w:val="6E6158"/>
          <w:spacing w:val="27"/>
        </w:rPr>
        <w:t> </w:t>
      </w:r>
      <w:r>
        <w:rPr>
          <w:color w:val="6E6158"/>
        </w:rPr>
        <w:t>even</w:t>
      </w:r>
      <w:r>
        <w:rPr>
          <w:color w:val="6E6158"/>
          <w:spacing w:val="27"/>
        </w:rPr>
        <w:t> </w:t>
      </w:r>
      <w:r>
        <w:rPr>
          <w:color w:val="6E6158"/>
        </w:rPr>
        <w:t>those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are</w:t>
      </w:r>
      <w:r>
        <w:rPr>
          <w:color w:val="6E6158"/>
          <w:spacing w:val="27"/>
        </w:rPr>
        <w:t> </w:t>
      </w:r>
      <w:r>
        <w:rPr>
          <w:color w:val="6E6158"/>
        </w:rPr>
        <w:t>highly</w:t>
      </w:r>
      <w:r>
        <w:rPr>
          <w:color w:val="6E6158"/>
          <w:spacing w:val="27"/>
        </w:rPr>
        <w:t> </w:t>
      </w:r>
      <w:r>
        <w:rPr>
          <w:color w:val="6E6158"/>
        </w:rPr>
        <w:t>complex</w:t>
      </w:r>
      <w:r>
        <w:rPr>
          <w:color w:val="6E6158"/>
          <w:spacing w:val="27"/>
        </w:rPr>
        <w:t> </w:t>
      </w:r>
      <w:r>
        <w:rPr>
          <w:color w:val="6E6158"/>
        </w:rPr>
        <w:t>—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cost-effective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292" w:lineRule="auto" w:before="88"/>
        <w:ind w:right="508"/>
      </w:pPr>
      <w:r>
        <w:rPr>
          <w:color w:val="6E6158"/>
        </w:rPr>
        <w:t>manner and provide excellent service. Our employee benefits practice covers all of the </w:t>
      </w:r>
      <w:r>
        <w:rPr>
          <w:color w:val="6E6158"/>
        </w:rPr>
        <w:t>client</w:t>
      </w:r>
      <w:r>
        <w:rPr>
          <w:color w:val="6E6158"/>
          <w:spacing w:val="40"/>
        </w:rPr>
        <w:t> </w:t>
      </w:r>
      <w:r>
        <w:rPr>
          <w:color w:val="6E6158"/>
        </w:rPr>
        <w:t>needs set out below.</w:t>
      </w:r>
    </w:p>
    <w:p>
      <w:pPr>
        <w:pStyle w:val="Heading1"/>
        <w:spacing w:before="171"/>
      </w:pPr>
      <w:r>
        <w:rPr>
          <w:color w:val="FF8100"/>
        </w:rPr>
        <w:t>CORRECTION</w:t>
      </w:r>
      <w:r>
        <w:rPr>
          <w:color w:val="FF8100"/>
          <w:spacing w:val="16"/>
        </w:rPr>
        <w:t> </w:t>
      </w:r>
      <w:r>
        <w:rPr>
          <w:color w:val="FF8100"/>
          <w:spacing w:val="-2"/>
        </w:rPr>
        <w:t>PROGRAMS</w:t>
      </w:r>
    </w:p>
    <w:p>
      <w:pPr>
        <w:pStyle w:val="BodyText"/>
        <w:spacing w:line="295" w:lineRule="auto" w:before="147"/>
        <w:ind w:right="583"/>
      </w:pPr>
      <w:r>
        <w:rPr>
          <w:color w:val="6E6158"/>
        </w:rPr>
        <w:t>With the recent limitations on the IRS’s long-standing favorable determination letter program, it is</w:t>
      </w:r>
      <w:r>
        <w:rPr>
          <w:color w:val="6E6158"/>
          <w:spacing w:val="40"/>
        </w:rPr>
        <w:t> </w:t>
      </w:r>
      <w:r>
        <w:rPr>
          <w:color w:val="6E6158"/>
        </w:rPr>
        <w:t>more important than ever to ensure an employer’s qualified plans are written and operated in</w:t>
      </w:r>
      <w:r>
        <w:rPr>
          <w:color w:val="6E6158"/>
          <w:spacing w:val="40"/>
        </w:rPr>
        <w:t> </w:t>
      </w:r>
      <w:r>
        <w:rPr>
          <w:color w:val="6E6158"/>
        </w:rPr>
        <w:t>compliance with ERISA and tax code requirements. Our ERISA lawyers provide periodic</w:t>
      </w:r>
      <w:r>
        <w:rPr>
          <w:color w:val="6E6158"/>
          <w:spacing w:val="40"/>
        </w:rPr>
        <w:t> </w:t>
      </w:r>
      <w:r>
        <w:rPr>
          <w:color w:val="6E6158"/>
        </w:rPr>
        <w:t>compliance reviews and help clients implement appropriate and timely self-correction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procedures.</w:t>
      </w:r>
    </w:p>
    <w:p>
      <w:pPr>
        <w:pStyle w:val="BodyText"/>
        <w:spacing w:line="295" w:lineRule="auto" w:before="194"/>
        <w:ind w:right="508"/>
      </w:pPr>
      <w:r>
        <w:rPr>
          <w:color w:val="6E6158"/>
        </w:rPr>
        <w:t>Further, we advise plans on failures that cannot be self-corrected and assist with the preparation</w:t>
      </w:r>
      <w:r>
        <w:rPr>
          <w:color w:val="6E6158"/>
          <w:spacing w:val="40"/>
        </w:rPr>
        <w:t> </w:t>
      </w:r>
      <w:r>
        <w:rPr>
          <w:color w:val="6E6158"/>
        </w:rPr>
        <w:t>and submission of applications to the IRS’s Voluntary Compliance Program (VCP) and the DOL’s</w:t>
      </w:r>
      <w:r>
        <w:rPr>
          <w:color w:val="6E6158"/>
          <w:spacing w:val="40"/>
        </w:rPr>
        <w:t> </w:t>
      </w:r>
      <w:r>
        <w:rPr>
          <w:color w:val="6E6158"/>
        </w:rPr>
        <w:t>Voluntary</w:t>
      </w:r>
      <w:r>
        <w:rPr>
          <w:color w:val="6E6158"/>
          <w:spacing w:val="32"/>
        </w:rPr>
        <w:t> </w:t>
      </w:r>
      <w:r>
        <w:rPr>
          <w:color w:val="6E6158"/>
        </w:rPr>
        <w:t>Fiduciary</w:t>
      </w:r>
      <w:r>
        <w:rPr>
          <w:color w:val="6E6158"/>
          <w:spacing w:val="32"/>
        </w:rPr>
        <w:t> </w:t>
      </w:r>
      <w:r>
        <w:rPr>
          <w:color w:val="6E6158"/>
        </w:rPr>
        <w:t>Compliance</w:t>
      </w:r>
      <w:r>
        <w:rPr>
          <w:color w:val="6E6158"/>
          <w:spacing w:val="32"/>
        </w:rPr>
        <w:t> </w:t>
      </w:r>
      <w:r>
        <w:rPr>
          <w:color w:val="6E6158"/>
        </w:rPr>
        <w:t>Program</w:t>
      </w:r>
      <w:r>
        <w:rPr>
          <w:color w:val="6E6158"/>
          <w:spacing w:val="32"/>
        </w:rPr>
        <w:t> </w:t>
      </w:r>
      <w:r>
        <w:rPr>
          <w:color w:val="6E6158"/>
        </w:rPr>
        <w:t>(VFCP).</w:t>
      </w:r>
      <w:r>
        <w:rPr>
          <w:color w:val="6E6158"/>
          <w:spacing w:val="32"/>
        </w:rPr>
        <w:t> </w:t>
      </w:r>
      <w:r>
        <w:rPr>
          <w:color w:val="6E6158"/>
        </w:rPr>
        <w:t>We</w:t>
      </w:r>
      <w:r>
        <w:rPr>
          <w:color w:val="6E6158"/>
          <w:spacing w:val="32"/>
        </w:rPr>
        <w:t> </w:t>
      </w:r>
      <w:r>
        <w:rPr>
          <w:color w:val="6E6158"/>
        </w:rPr>
        <w:t>have</w:t>
      </w:r>
      <w:r>
        <w:rPr>
          <w:color w:val="6E6158"/>
          <w:spacing w:val="32"/>
        </w:rPr>
        <w:t> </w:t>
      </w:r>
      <w:r>
        <w:rPr>
          <w:color w:val="6E6158"/>
        </w:rPr>
        <w:t>had</w:t>
      </w:r>
      <w:r>
        <w:rPr>
          <w:color w:val="6E6158"/>
          <w:spacing w:val="32"/>
        </w:rPr>
        <w:t> </w:t>
      </w:r>
      <w:r>
        <w:rPr>
          <w:color w:val="6E6158"/>
        </w:rPr>
        <w:t>consistent</w:t>
      </w:r>
      <w:r>
        <w:rPr>
          <w:color w:val="6E6158"/>
          <w:spacing w:val="32"/>
        </w:rPr>
        <w:t> </w:t>
      </w:r>
      <w:r>
        <w:rPr>
          <w:color w:val="6E6158"/>
        </w:rPr>
        <w:t>success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crafting and</w:t>
      </w:r>
      <w:r>
        <w:rPr>
          <w:color w:val="6E6158"/>
          <w:spacing w:val="32"/>
        </w:rPr>
        <w:t> </w:t>
      </w:r>
      <w:r>
        <w:rPr>
          <w:color w:val="6E6158"/>
        </w:rPr>
        <w:t>negotiating</w:t>
      </w:r>
      <w:r>
        <w:rPr>
          <w:color w:val="6E6158"/>
          <w:spacing w:val="32"/>
        </w:rPr>
        <w:t> </w:t>
      </w:r>
      <w:r>
        <w:rPr>
          <w:color w:val="6E6158"/>
        </w:rPr>
        <w:t>non-standard</w:t>
      </w:r>
      <w:r>
        <w:rPr>
          <w:color w:val="6E6158"/>
          <w:spacing w:val="32"/>
        </w:rPr>
        <w:t> </w:t>
      </w:r>
      <w:r>
        <w:rPr>
          <w:color w:val="6E6158"/>
        </w:rPr>
        <w:t>corrections</w:t>
      </w:r>
      <w:r>
        <w:rPr>
          <w:color w:val="6E6158"/>
          <w:spacing w:val="32"/>
        </w:rPr>
        <w:t> </w:t>
      </w:r>
      <w:r>
        <w:rPr>
          <w:color w:val="6E6158"/>
        </w:rPr>
        <w:t>under</w:t>
      </w:r>
      <w:r>
        <w:rPr>
          <w:color w:val="6E6158"/>
          <w:spacing w:val="32"/>
        </w:rPr>
        <w:t> </w:t>
      </w:r>
      <w:r>
        <w:rPr>
          <w:color w:val="6E6158"/>
        </w:rPr>
        <w:t>VCP</w:t>
      </w:r>
      <w:r>
        <w:rPr>
          <w:color w:val="6E6158"/>
          <w:spacing w:val="32"/>
        </w:rPr>
        <w:t> </w:t>
      </w:r>
      <w:r>
        <w:rPr>
          <w:color w:val="6E6158"/>
        </w:rPr>
        <w:t>that</w:t>
      </w:r>
      <w:r>
        <w:rPr>
          <w:color w:val="6E6158"/>
          <w:spacing w:val="32"/>
        </w:rPr>
        <w:t> </w:t>
      </w:r>
      <w:r>
        <w:rPr>
          <w:color w:val="6E6158"/>
        </w:rPr>
        <w:t>are</w:t>
      </w:r>
      <w:r>
        <w:rPr>
          <w:color w:val="6E6158"/>
          <w:spacing w:val="32"/>
        </w:rPr>
        <w:t> </w:t>
      </w:r>
      <w:r>
        <w:rPr>
          <w:color w:val="6E6158"/>
        </w:rPr>
        <w:t>carefully</w:t>
      </w:r>
      <w:r>
        <w:rPr>
          <w:color w:val="6E6158"/>
          <w:spacing w:val="32"/>
        </w:rPr>
        <w:t> </w:t>
      </w:r>
      <w:r>
        <w:rPr>
          <w:color w:val="6E6158"/>
        </w:rPr>
        <w:t>tailored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specific plan</w:t>
      </w:r>
      <w:r>
        <w:rPr>
          <w:color w:val="6E6158"/>
          <w:spacing w:val="24"/>
        </w:rPr>
        <w:t> </w:t>
      </w:r>
      <w:r>
        <w:rPr>
          <w:color w:val="6E6158"/>
        </w:rPr>
        <w:t>sponsor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situation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that</w:t>
      </w:r>
      <w:r>
        <w:rPr>
          <w:color w:val="6E6158"/>
          <w:spacing w:val="24"/>
        </w:rPr>
        <w:t> </w:t>
      </w:r>
      <w:r>
        <w:rPr>
          <w:color w:val="6E6158"/>
        </w:rPr>
        <w:t>result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significant</w:t>
      </w:r>
      <w:r>
        <w:rPr>
          <w:color w:val="6E6158"/>
          <w:spacing w:val="24"/>
        </w:rPr>
        <w:t> </w:t>
      </w:r>
      <w:r>
        <w:rPr>
          <w:color w:val="6E6158"/>
        </w:rPr>
        <w:t>cost</w:t>
      </w:r>
      <w:r>
        <w:rPr>
          <w:color w:val="6E6158"/>
          <w:spacing w:val="24"/>
        </w:rPr>
        <w:t> </w:t>
      </w:r>
      <w:r>
        <w:rPr>
          <w:color w:val="6E6158"/>
        </w:rPr>
        <w:t>savings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plan</w:t>
      </w:r>
      <w:r>
        <w:rPr>
          <w:color w:val="6E6158"/>
          <w:spacing w:val="24"/>
        </w:rPr>
        <w:t> </w:t>
      </w:r>
      <w:r>
        <w:rPr>
          <w:color w:val="6E6158"/>
        </w:rPr>
        <w:t>sponsor.</w:t>
      </w:r>
      <w:r>
        <w:rPr>
          <w:color w:val="6E6158"/>
          <w:spacing w:val="24"/>
        </w:rPr>
        <w:t> </w:t>
      </w:r>
      <w:r>
        <w:rPr>
          <w:color w:val="6E6158"/>
        </w:rPr>
        <w:t>Our</w:t>
      </w:r>
    </w:p>
    <w:p>
      <w:pPr>
        <w:pStyle w:val="BodyText"/>
        <w:spacing w:line="232" w:lineRule="exact" w:before="0"/>
      </w:pP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attorneys</w:t>
      </w:r>
      <w:r>
        <w:rPr>
          <w:color w:val="6E6158"/>
          <w:spacing w:val="13"/>
        </w:rPr>
        <w:t> </w:t>
      </w:r>
      <w:r>
        <w:rPr>
          <w:color w:val="6E6158"/>
        </w:rPr>
        <w:t>also</w:t>
      </w:r>
      <w:r>
        <w:rPr>
          <w:color w:val="6E6158"/>
          <w:spacing w:val="13"/>
        </w:rPr>
        <w:t> </w:t>
      </w:r>
      <w:r>
        <w:rPr>
          <w:color w:val="6E6158"/>
        </w:rPr>
        <w:t>assist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plan</w:t>
      </w:r>
      <w:r>
        <w:rPr>
          <w:color w:val="6E6158"/>
          <w:spacing w:val="13"/>
        </w:rPr>
        <w:t> </w:t>
      </w:r>
      <w:r>
        <w:rPr>
          <w:color w:val="6E6158"/>
        </w:rPr>
        <w:t>audit-CAP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scenarios.</w:t>
      </w:r>
    </w:p>
    <w:p>
      <w:pPr>
        <w:pStyle w:val="Heading1"/>
        <w:spacing w:before="222"/>
      </w:pPr>
      <w:r>
        <w:rPr>
          <w:color w:val="FF8100"/>
        </w:rPr>
        <w:t>EMPLOYEE</w:t>
      </w:r>
      <w:r>
        <w:rPr>
          <w:color w:val="FF8100"/>
          <w:spacing w:val="9"/>
        </w:rPr>
        <w:t> </w:t>
      </w:r>
      <w:r>
        <w:rPr>
          <w:color w:val="FF8100"/>
        </w:rPr>
        <w:t>BENEFITS</w:t>
      </w:r>
      <w:r>
        <w:rPr>
          <w:color w:val="FF8100"/>
          <w:spacing w:val="9"/>
        </w:rPr>
        <w:t> </w:t>
      </w:r>
      <w:r>
        <w:rPr>
          <w:color w:val="FF8100"/>
        </w:rPr>
        <w:t>-</w:t>
      </w:r>
      <w:r>
        <w:rPr>
          <w:color w:val="FF8100"/>
          <w:spacing w:val="9"/>
        </w:rPr>
        <w:t> </w:t>
      </w:r>
      <w:r>
        <w:rPr>
          <w:color w:val="FF8100"/>
        </w:rPr>
        <w:t>BUSINESS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TRANSACTIONS</w:t>
      </w:r>
    </w:p>
    <w:p>
      <w:pPr>
        <w:pStyle w:val="BodyText"/>
      </w:pPr>
      <w:r>
        <w:rPr>
          <w:color w:val="6E6158"/>
        </w:rPr>
        <w:t>We</w:t>
      </w:r>
      <w:r>
        <w:rPr>
          <w:color w:val="6E6158"/>
          <w:spacing w:val="10"/>
        </w:rPr>
        <w:t> </w:t>
      </w:r>
      <w:r>
        <w:rPr>
          <w:color w:val="6E6158"/>
        </w:rPr>
        <w:t>provide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1"/>
        </w:rPr>
        <w:t> </w:t>
      </w:r>
      <w:r>
        <w:rPr>
          <w:color w:val="6E6158"/>
        </w:rPr>
        <w:t>regarding</w:t>
      </w:r>
      <w:r>
        <w:rPr>
          <w:color w:val="6E6158"/>
          <w:spacing w:val="11"/>
        </w:rPr>
        <w:t> </w:t>
      </w:r>
      <w:r>
        <w:rPr>
          <w:color w:val="6E6158"/>
        </w:rPr>
        <w:t>all</w:t>
      </w:r>
      <w:r>
        <w:rPr>
          <w:color w:val="6E6158"/>
          <w:spacing w:val="11"/>
        </w:rPr>
        <w:t> </w:t>
      </w:r>
      <w:r>
        <w:rPr>
          <w:color w:val="6E6158"/>
        </w:rPr>
        <w:t>aspects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employee</w:t>
      </w:r>
      <w:r>
        <w:rPr>
          <w:color w:val="6E6158"/>
          <w:spacing w:val="11"/>
        </w:rPr>
        <w:t> </w:t>
      </w:r>
      <w:r>
        <w:rPr>
          <w:color w:val="6E6158"/>
        </w:rPr>
        <w:t>benefits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merger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acquisition</w:t>
      </w:r>
    </w:p>
    <w:p>
      <w:pPr>
        <w:pStyle w:val="BodyText"/>
        <w:spacing w:line="295" w:lineRule="auto" w:before="52"/>
        <w:ind w:right="583"/>
      </w:pPr>
      <w:r>
        <w:rPr>
          <w:color w:val="6E6158"/>
        </w:rPr>
        <w:t>transactions, including 280G analysis and calculations when necessary from either the buyer or</w:t>
      </w:r>
      <w:r>
        <w:rPr>
          <w:color w:val="6E6158"/>
          <w:spacing w:val="40"/>
        </w:rPr>
        <w:t> </w:t>
      </w:r>
      <w:r>
        <w:rPr>
          <w:color w:val="6E6158"/>
        </w:rPr>
        <w:t>seller side in both equity and asset purchase deals. Our team has a structured approach to</w:t>
      </w:r>
      <w:r>
        <w:rPr>
          <w:color w:val="6E6158"/>
          <w:spacing w:val="40"/>
        </w:rPr>
        <w:t> </w:t>
      </w:r>
      <w:r>
        <w:rPr>
          <w:color w:val="6E6158"/>
        </w:rPr>
        <w:t>employee benefits law due diligence, in which specific practice group members are tasked with</w:t>
      </w:r>
      <w:r>
        <w:rPr>
          <w:color w:val="6E6158"/>
          <w:spacing w:val="40"/>
        </w:rPr>
        <w:t> </w:t>
      </w:r>
      <w:r>
        <w:rPr>
          <w:color w:val="6E6158"/>
        </w:rPr>
        <w:t>reviewing</w:t>
      </w:r>
      <w:r>
        <w:rPr>
          <w:color w:val="6E6158"/>
          <w:spacing w:val="31"/>
        </w:rPr>
        <w:t> </w:t>
      </w:r>
      <w:r>
        <w:rPr>
          <w:color w:val="6E6158"/>
        </w:rPr>
        <w:t>or</w:t>
      </w:r>
      <w:r>
        <w:rPr>
          <w:color w:val="6E6158"/>
          <w:spacing w:val="31"/>
        </w:rPr>
        <w:t> </w:t>
      </w:r>
      <w:r>
        <w:rPr>
          <w:color w:val="6E6158"/>
        </w:rPr>
        <w:t>providing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documents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data</w:t>
      </w:r>
      <w:r>
        <w:rPr>
          <w:color w:val="6E6158"/>
          <w:spacing w:val="31"/>
        </w:rPr>
        <w:t> </w:t>
      </w:r>
      <w:r>
        <w:rPr>
          <w:color w:val="6E6158"/>
        </w:rPr>
        <w:t>relative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specific</w:t>
      </w:r>
      <w:r>
        <w:rPr>
          <w:color w:val="6E6158"/>
          <w:spacing w:val="31"/>
        </w:rPr>
        <w:t> </w:t>
      </w:r>
      <w:r>
        <w:rPr>
          <w:color w:val="6E6158"/>
        </w:rPr>
        <w:t>employee</w:t>
      </w:r>
      <w:r>
        <w:rPr>
          <w:color w:val="6E6158"/>
          <w:spacing w:val="31"/>
        </w:rPr>
        <w:t> </w:t>
      </w:r>
      <w:r>
        <w:rPr>
          <w:color w:val="6E6158"/>
        </w:rPr>
        <w:t>benefit program under review. Our HR attorneys review and advise with a mind toward the best interests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client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their</w:t>
      </w:r>
      <w:r>
        <w:rPr>
          <w:color w:val="6E6158"/>
          <w:spacing w:val="23"/>
        </w:rPr>
        <w:t> </w:t>
      </w:r>
      <w:r>
        <w:rPr>
          <w:color w:val="6E6158"/>
        </w:rPr>
        <w:t>side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transaction.</w:t>
      </w:r>
      <w:r>
        <w:rPr>
          <w:color w:val="6E6158"/>
          <w:spacing w:val="23"/>
        </w:rPr>
        <w:t> </w:t>
      </w:r>
      <w:r>
        <w:rPr>
          <w:color w:val="6E6158"/>
        </w:rPr>
        <w:t>Due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our</w:t>
      </w:r>
      <w:r>
        <w:rPr>
          <w:color w:val="6E6158"/>
          <w:spacing w:val="23"/>
        </w:rPr>
        <w:t> </w:t>
      </w:r>
      <w:r>
        <w:rPr>
          <w:color w:val="6E6158"/>
        </w:rPr>
        <w:t>many</w:t>
      </w:r>
      <w:r>
        <w:rPr>
          <w:color w:val="6E6158"/>
          <w:spacing w:val="23"/>
        </w:rPr>
        <w:t> </w:t>
      </w:r>
      <w:r>
        <w:rPr>
          <w:color w:val="6E6158"/>
        </w:rPr>
        <w:t>years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experience,</w:t>
      </w:r>
      <w:r>
        <w:rPr>
          <w:color w:val="6E6158"/>
          <w:spacing w:val="23"/>
        </w:rPr>
        <w:t> </w:t>
      </w:r>
      <w:r>
        <w:rPr>
          <w:color w:val="6E6158"/>
        </w:rPr>
        <w:t>we recognize and quickly respond to the urgent time constraints these deals typically require. When</w:t>
      </w:r>
      <w:r>
        <w:rPr>
          <w:color w:val="6E6158"/>
          <w:spacing w:val="40"/>
        </w:rPr>
        <w:t> </w:t>
      </w:r>
      <w:r>
        <w:rPr>
          <w:color w:val="6E6158"/>
        </w:rPr>
        <w:t>problems are identified, we outline the potential corrective actions to remediate the issues, the</w:t>
      </w:r>
      <w:r>
        <w:rPr>
          <w:color w:val="6E6158"/>
          <w:spacing w:val="40"/>
        </w:rPr>
        <w:t> </w:t>
      </w:r>
      <w:r>
        <w:rPr>
          <w:color w:val="6E6158"/>
        </w:rPr>
        <w:t>required</w:t>
      </w:r>
      <w:r>
        <w:rPr>
          <w:color w:val="6E6158"/>
          <w:spacing w:val="37"/>
        </w:rPr>
        <w:t> </w:t>
      </w:r>
      <w:r>
        <w:rPr>
          <w:color w:val="6E6158"/>
        </w:rPr>
        <w:t>timing,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advise</w:t>
      </w:r>
      <w:r>
        <w:rPr>
          <w:color w:val="6E6158"/>
          <w:spacing w:val="37"/>
        </w:rPr>
        <w:t> </w:t>
      </w:r>
      <w:r>
        <w:rPr>
          <w:color w:val="6E6158"/>
        </w:rPr>
        <w:t>clients</w:t>
      </w:r>
      <w:r>
        <w:rPr>
          <w:color w:val="6E6158"/>
          <w:spacing w:val="37"/>
        </w:rPr>
        <w:t> </w:t>
      </w:r>
      <w:r>
        <w:rPr>
          <w:color w:val="6E6158"/>
        </w:rPr>
        <w:t>regarding</w:t>
      </w:r>
      <w:r>
        <w:rPr>
          <w:color w:val="6E6158"/>
          <w:spacing w:val="37"/>
        </w:rPr>
        <w:t> </w:t>
      </w:r>
      <w:r>
        <w:rPr>
          <w:color w:val="6E6158"/>
        </w:rPr>
        <w:t>potential</w:t>
      </w:r>
      <w:r>
        <w:rPr>
          <w:color w:val="6E6158"/>
          <w:spacing w:val="37"/>
        </w:rPr>
        <w:t> </w:t>
      </w:r>
      <w:r>
        <w:rPr>
          <w:color w:val="6E6158"/>
        </w:rPr>
        <w:t>exposure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delaying</w:t>
      </w:r>
      <w:r>
        <w:rPr>
          <w:color w:val="6E6158"/>
          <w:spacing w:val="37"/>
        </w:rPr>
        <w:t> </w:t>
      </w:r>
      <w:r>
        <w:rPr>
          <w:color w:val="6E6158"/>
        </w:rPr>
        <w:t>correction.</w:t>
      </w:r>
    </w:p>
    <w:p>
      <w:pPr>
        <w:pStyle w:val="BodyText"/>
        <w:spacing w:line="297" w:lineRule="auto" w:before="196"/>
        <w:ind w:right="663"/>
      </w:pPr>
      <w:r>
        <w:rPr>
          <w:color w:val="6E6158"/>
        </w:rPr>
        <w:t>Our employee benefit attorneys routinely work with companies and their third-party benefits</w:t>
      </w:r>
      <w:r>
        <w:rPr>
          <w:color w:val="6E6158"/>
          <w:spacing w:val="40"/>
        </w:rPr>
        <w:t> </w:t>
      </w:r>
      <w:r>
        <w:rPr>
          <w:color w:val="6E6158"/>
        </w:rPr>
        <w:t>providers (insurance brokers, trustees and third-party record-keepers) on the post-merger</w:t>
      </w:r>
      <w:r>
        <w:rPr>
          <w:color w:val="6E6158"/>
          <w:spacing w:val="40"/>
        </w:rPr>
        <w:t> </w:t>
      </w:r>
      <w:r>
        <w:rPr>
          <w:color w:val="6E6158"/>
        </w:rPr>
        <w:t>integration of their various benefit plans, including qualified plans, welfare and fringe </w:t>
      </w:r>
      <w:r>
        <w:rPr>
          <w:color w:val="6E6158"/>
        </w:rPr>
        <w:t>benefit</w:t>
      </w:r>
      <w:r>
        <w:rPr>
          <w:color w:val="6E6158"/>
          <w:spacing w:val="40"/>
        </w:rPr>
        <w:t> </w:t>
      </w:r>
      <w:r>
        <w:rPr>
          <w:color w:val="6E6158"/>
        </w:rPr>
        <w:t>arrangements, equity compensation, and non-qualified deferred compensation. When a</w:t>
      </w:r>
      <w:r>
        <w:rPr>
          <w:color w:val="6E6158"/>
          <w:spacing w:val="40"/>
        </w:rPr>
        <w:t> </w:t>
      </w:r>
      <w:r>
        <w:rPr>
          <w:color w:val="6E6158"/>
        </w:rPr>
        <w:t>qualified plan will be terminated, we prepare and file final favorable determination letter</w:t>
      </w:r>
      <w:r>
        <w:rPr>
          <w:color w:val="6E6158"/>
          <w:spacing w:val="40"/>
        </w:rPr>
        <w:t> </w:t>
      </w:r>
      <w:r>
        <w:rPr>
          <w:color w:val="6E6158"/>
        </w:rPr>
        <w:t>applications on their behalf and any accompanying VCP applications.</w:t>
      </w:r>
    </w:p>
    <w:p>
      <w:pPr>
        <w:pStyle w:val="Heading1"/>
        <w:spacing w:before="154"/>
      </w:pPr>
      <w:r>
        <w:rPr>
          <w:color w:val="FF8100"/>
        </w:rPr>
        <w:t>EQUITY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COMPENSATION</w:t>
      </w:r>
    </w:p>
    <w:p>
      <w:pPr>
        <w:pStyle w:val="BodyText"/>
        <w:spacing w:line="295" w:lineRule="auto"/>
        <w:ind w:right="583"/>
      </w:pPr>
      <w:r>
        <w:rPr>
          <w:color w:val="6E6158"/>
        </w:rPr>
        <w:t>Our employment law services include the design, documentation, compliance, </w:t>
      </w:r>
      <w:r>
        <w:rPr>
          <w:color w:val="6E6158"/>
        </w:rPr>
        <w:t>implementation</w:t>
      </w:r>
      <w:r>
        <w:rPr>
          <w:color w:val="6E6158"/>
          <w:spacing w:val="40"/>
        </w:rPr>
        <w:t> </w:t>
      </w:r>
      <w:r>
        <w:rPr>
          <w:color w:val="6E6158"/>
        </w:rPr>
        <w:t>and ongoing administrative overview of equity compensation arrangements, for both publicly-</w:t>
      </w:r>
      <w:r>
        <w:rPr>
          <w:color w:val="6E6158"/>
          <w:spacing w:val="40"/>
        </w:rPr>
        <w:t> </w:t>
      </w:r>
      <w:r>
        <w:rPr>
          <w:color w:val="6E6158"/>
        </w:rPr>
        <w:t>traded (including 162(m) considerations) and private clients. We also implement these types of</w:t>
      </w:r>
      <w:r>
        <w:rPr>
          <w:color w:val="6E6158"/>
          <w:spacing w:val="40"/>
        </w:rPr>
        <w:t> </w:t>
      </w:r>
      <w:r>
        <w:rPr>
          <w:color w:val="6E6158"/>
        </w:rPr>
        <w:t>programs for both corporations and entities taxed as flow-through entities. We assist clients with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design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implementation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ESPP</w:t>
      </w:r>
      <w:r>
        <w:rPr>
          <w:color w:val="6E6158"/>
          <w:spacing w:val="32"/>
        </w:rPr>
        <w:t> </w:t>
      </w:r>
      <w:r>
        <w:rPr>
          <w:color w:val="6E6158"/>
        </w:rPr>
        <w:t>(both</w:t>
      </w:r>
      <w:r>
        <w:rPr>
          <w:color w:val="6E6158"/>
          <w:spacing w:val="32"/>
        </w:rPr>
        <w:t> </w:t>
      </w:r>
      <w:r>
        <w:rPr>
          <w:color w:val="6E6158"/>
        </w:rPr>
        <w:t>qualified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non-qualified);</w:t>
      </w:r>
      <w:r>
        <w:rPr>
          <w:color w:val="6E6158"/>
          <w:spacing w:val="32"/>
        </w:rPr>
        <w:t> </w:t>
      </w:r>
      <w:r>
        <w:rPr>
          <w:color w:val="6E6158"/>
        </w:rPr>
        <w:t>Option</w:t>
      </w:r>
      <w:r>
        <w:rPr>
          <w:color w:val="6E6158"/>
          <w:spacing w:val="32"/>
        </w:rPr>
        <w:t> </w:t>
      </w:r>
      <w:r>
        <w:rPr>
          <w:color w:val="6E6158"/>
        </w:rPr>
        <w:t>Plans</w:t>
      </w:r>
      <w:r>
        <w:rPr>
          <w:color w:val="6E6158"/>
          <w:spacing w:val="32"/>
        </w:rPr>
        <w:t> </w:t>
      </w:r>
      <w:r>
        <w:rPr>
          <w:color w:val="6E6158"/>
        </w:rPr>
        <w:t>(ISO and</w:t>
      </w:r>
      <w:r>
        <w:rPr>
          <w:color w:val="6E6158"/>
          <w:spacing w:val="35"/>
        </w:rPr>
        <w:t> </w:t>
      </w:r>
      <w:r>
        <w:rPr>
          <w:color w:val="6E6158"/>
        </w:rPr>
        <w:t>NQSO);</w:t>
      </w:r>
      <w:r>
        <w:rPr>
          <w:color w:val="6E6158"/>
          <w:spacing w:val="35"/>
        </w:rPr>
        <w:t> </w:t>
      </w:r>
      <w:r>
        <w:rPr>
          <w:color w:val="6E6158"/>
        </w:rPr>
        <w:t>Restricted</w:t>
      </w:r>
      <w:r>
        <w:rPr>
          <w:color w:val="6E6158"/>
          <w:spacing w:val="35"/>
        </w:rPr>
        <w:t> </w:t>
      </w:r>
      <w:r>
        <w:rPr>
          <w:color w:val="6E6158"/>
        </w:rPr>
        <w:t>Stock;</w:t>
      </w:r>
      <w:r>
        <w:rPr>
          <w:color w:val="6E6158"/>
          <w:spacing w:val="35"/>
        </w:rPr>
        <w:t> </w:t>
      </w:r>
      <w:r>
        <w:rPr>
          <w:color w:val="6E6158"/>
        </w:rPr>
        <w:t>Restricted</w:t>
      </w:r>
      <w:r>
        <w:rPr>
          <w:color w:val="6E6158"/>
          <w:spacing w:val="35"/>
        </w:rPr>
        <w:t> </w:t>
      </w:r>
      <w:r>
        <w:rPr>
          <w:color w:val="6E6158"/>
        </w:rPr>
        <w:t>Stock</w:t>
      </w:r>
      <w:r>
        <w:rPr>
          <w:color w:val="6E6158"/>
          <w:spacing w:val="35"/>
        </w:rPr>
        <w:t> </w:t>
      </w:r>
      <w:r>
        <w:rPr>
          <w:color w:val="6E6158"/>
        </w:rPr>
        <w:t>Units;</w:t>
      </w:r>
      <w:r>
        <w:rPr>
          <w:color w:val="6E6158"/>
          <w:spacing w:val="35"/>
        </w:rPr>
        <w:t> </w:t>
      </w:r>
      <w:r>
        <w:rPr>
          <w:color w:val="6E6158"/>
        </w:rPr>
        <w:t>Stock</w:t>
      </w:r>
      <w:r>
        <w:rPr>
          <w:color w:val="6E6158"/>
          <w:spacing w:val="35"/>
        </w:rPr>
        <w:t> </w:t>
      </w:r>
      <w:r>
        <w:rPr>
          <w:color w:val="6E6158"/>
        </w:rPr>
        <w:t>Appreciation</w:t>
      </w:r>
      <w:r>
        <w:rPr>
          <w:color w:val="6E6158"/>
          <w:spacing w:val="35"/>
        </w:rPr>
        <w:t> </w:t>
      </w:r>
      <w:r>
        <w:rPr>
          <w:color w:val="6E6158"/>
        </w:rPr>
        <w:t>Rights</w:t>
      </w:r>
      <w:r>
        <w:rPr>
          <w:color w:val="6E6158"/>
          <w:spacing w:val="35"/>
        </w:rPr>
        <w:t> </w:t>
      </w:r>
      <w:r>
        <w:rPr>
          <w:color w:val="6E6158"/>
        </w:rPr>
        <w:t>(standalone</w:t>
      </w:r>
      <w:r>
        <w:rPr>
          <w:color w:val="6E6158"/>
          <w:spacing w:val="35"/>
        </w:rPr>
        <w:t> </w:t>
      </w:r>
      <w:r>
        <w:rPr>
          <w:color w:val="6E6158"/>
        </w:rPr>
        <w:t>or</w:t>
      </w:r>
    </w:p>
    <w:p>
      <w:pPr>
        <w:pStyle w:val="BodyText"/>
        <w:spacing w:line="292" w:lineRule="auto" w:before="6"/>
      </w:pPr>
      <w:r>
        <w:rPr>
          <w:color w:val="6E6158"/>
        </w:rPr>
        <w:t>tandem), and a variety of other equity-related structures. We facilitate client compliance with</w:t>
      </w:r>
      <w:r>
        <w:rPr>
          <w:color w:val="6E6158"/>
          <w:spacing w:val="40"/>
        </w:rPr>
        <w:t> </w:t>
      </w:r>
      <w:r>
        <w:rPr>
          <w:color w:val="6E6158"/>
        </w:rPr>
        <w:t>compensation disclosure and analysis reporting when requested.</w:t>
      </w:r>
    </w:p>
    <w:p>
      <w:pPr>
        <w:pStyle w:val="Heading1"/>
      </w:pPr>
      <w:r>
        <w:rPr>
          <w:color w:val="FF8100"/>
        </w:rPr>
        <w:t>EXECUTIVE</w:t>
      </w:r>
      <w:r>
        <w:rPr>
          <w:color w:val="FF8100"/>
          <w:spacing w:val="16"/>
        </w:rPr>
        <w:t> </w:t>
      </w:r>
      <w:r>
        <w:rPr>
          <w:color w:val="FF8100"/>
        </w:rPr>
        <w:t>COMPENSATION</w:t>
      </w:r>
      <w:r>
        <w:rPr>
          <w:color w:val="FF8100"/>
          <w:spacing w:val="17"/>
        </w:rPr>
        <w:t> </w:t>
      </w:r>
      <w:r>
        <w:rPr>
          <w:color w:val="FF8100"/>
          <w:spacing w:val="-2"/>
        </w:rPr>
        <w:t>AGREEMENTS</w:t>
      </w:r>
    </w:p>
    <w:p>
      <w:pPr>
        <w:pStyle w:val="BodyText"/>
        <w:spacing w:line="292" w:lineRule="auto"/>
        <w:ind w:right="663"/>
      </w:pPr>
      <w:r>
        <w:rPr>
          <w:color w:val="6E6158"/>
        </w:rPr>
        <w:t>Our practitioners work closely with our labor and employment attorneys in designing or </w:t>
      </w:r>
      <w:r>
        <w:rPr>
          <w:color w:val="6E6158"/>
        </w:rPr>
        <w:t>reviewing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advising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various</w:t>
      </w:r>
      <w:r>
        <w:rPr>
          <w:color w:val="6E6158"/>
          <w:spacing w:val="34"/>
        </w:rPr>
        <w:t> </w:t>
      </w:r>
      <w:r>
        <w:rPr>
          <w:color w:val="6E6158"/>
        </w:rPr>
        <w:t>aspects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executive</w:t>
      </w:r>
      <w:r>
        <w:rPr>
          <w:color w:val="6E6158"/>
          <w:spacing w:val="34"/>
        </w:rPr>
        <w:t> </w:t>
      </w:r>
      <w:r>
        <w:rPr>
          <w:color w:val="6E6158"/>
        </w:rPr>
        <w:t>employment</w:t>
      </w:r>
      <w:r>
        <w:rPr>
          <w:color w:val="6E6158"/>
          <w:spacing w:val="34"/>
        </w:rPr>
        <w:t> </w:t>
      </w:r>
      <w:r>
        <w:rPr>
          <w:color w:val="6E6158"/>
        </w:rPr>
        <w:t>agreements,</w:t>
      </w:r>
      <w:r>
        <w:rPr>
          <w:color w:val="6E6158"/>
          <w:spacing w:val="34"/>
        </w:rPr>
        <w:t> </w:t>
      </w:r>
      <w:r>
        <w:rPr>
          <w:color w:val="6E6158"/>
        </w:rPr>
        <w:t>change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control</w:t>
      </w:r>
    </w:p>
    <w:p>
      <w:pPr>
        <w:pStyle w:val="BodyText"/>
        <w:spacing w:before="10"/>
      </w:pPr>
      <w:r>
        <w:rPr>
          <w:color w:val="6E6158"/>
        </w:rPr>
        <w:t>agreements,</w:t>
      </w:r>
      <w:r>
        <w:rPr>
          <w:color w:val="6E6158"/>
          <w:spacing w:val="15"/>
        </w:rPr>
        <w:t> </w:t>
      </w:r>
      <w:r>
        <w:rPr>
          <w:color w:val="6E6158"/>
        </w:rPr>
        <w:t>various</w:t>
      </w:r>
      <w:r>
        <w:rPr>
          <w:color w:val="6E6158"/>
          <w:spacing w:val="15"/>
        </w:rPr>
        <w:t> </w:t>
      </w:r>
      <w:r>
        <w:rPr>
          <w:color w:val="6E6158"/>
        </w:rPr>
        <w:t>equity</w:t>
      </w:r>
      <w:r>
        <w:rPr>
          <w:color w:val="6E6158"/>
          <w:spacing w:val="16"/>
        </w:rPr>
        <w:t> </w:t>
      </w:r>
      <w:r>
        <w:rPr>
          <w:color w:val="6E6158"/>
        </w:rPr>
        <w:t>awards,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severance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agreements.</w:t>
      </w:r>
    </w:p>
    <w:p>
      <w:pPr>
        <w:pStyle w:val="BodyText"/>
        <w:spacing w:after="0"/>
        <w:sectPr>
          <w:pgSz w:w="12240" w:h="15840"/>
          <w:pgMar w:top="500" w:bottom="280" w:left="1080" w:right="1080"/>
        </w:sectPr>
      </w:pPr>
    </w:p>
    <w:p>
      <w:pPr>
        <w:pStyle w:val="Heading1"/>
        <w:spacing w:before="88"/>
      </w:pPr>
      <w:r>
        <w:rPr>
          <w:color w:val="FF8100"/>
        </w:rPr>
        <w:t>INFORMATION</w:t>
      </w:r>
      <w:r>
        <w:rPr>
          <w:color w:val="FF8100"/>
          <w:spacing w:val="17"/>
        </w:rPr>
        <w:t> </w:t>
      </w:r>
      <w:r>
        <w:rPr>
          <w:color w:val="FF8100"/>
          <w:spacing w:val="-2"/>
        </w:rPr>
        <w:t>REPORTING</w:t>
      </w:r>
    </w:p>
    <w:p>
      <w:pPr>
        <w:pStyle w:val="BodyText"/>
        <w:spacing w:line="295" w:lineRule="auto" w:before="147"/>
        <w:ind w:right="780"/>
      </w:pPr>
      <w:r>
        <w:rPr>
          <w:color w:val="6E6158"/>
        </w:rPr>
        <w:t>Our employment attorneys advise clients regarding the information reporting requirements</w:t>
      </w:r>
      <w:r>
        <w:rPr>
          <w:color w:val="6E6158"/>
          <w:spacing w:val="40"/>
        </w:rPr>
        <w:t> </w:t>
      </w:r>
      <w:r>
        <w:rPr>
          <w:color w:val="6E6158"/>
        </w:rPr>
        <w:t>associated with retirement plans, welfare plans, severance plans, non-qualified deferred</w:t>
      </w:r>
      <w:r>
        <w:rPr>
          <w:color w:val="6E6158"/>
          <w:spacing w:val="40"/>
        </w:rPr>
        <w:t> </w:t>
      </w:r>
      <w:r>
        <w:rPr>
          <w:color w:val="6E6158"/>
        </w:rPr>
        <w:t>compensation arrangements, ACA and successor employer issues, and advise on the</w:t>
      </w:r>
      <w:r>
        <w:rPr>
          <w:color w:val="6E6158"/>
          <w:spacing w:val="40"/>
        </w:rPr>
        <w:t> </w:t>
      </w:r>
      <w:r>
        <w:rPr>
          <w:color w:val="6E6158"/>
        </w:rPr>
        <w:t>application of the special timing as well as state and local tax withholding requirements</w:t>
      </w:r>
      <w:r>
        <w:rPr>
          <w:color w:val="6E6158"/>
          <w:spacing w:val="40"/>
        </w:rPr>
        <w:t> </w:t>
      </w:r>
      <w:r>
        <w:rPr>
          <w:color w:val="6E6158"/>
        </w:rPr>
        <w:t>associated with various components of compensation. We also advise clients on 83(b) </w:t>
      </w:r>
      <w:r>
        <w:rPr>
          <w:color w:val="6E6158"/>
        </w:rPr>
        <w:t>issues and deductibility of compensation.</w:t>
      </w:r>
    </w:p>
    <w:p>
      <w:pPr>
        <w:pStyle w:val="Heading1"/>
        <w:spacing w:before="167"/>
      </w:pPr>
      <w:r>
        <w:rPr>
          <w:color w:val="FF8100"/>
        </w:rPr>
        <w:t>IRS</w:t>
      </w:r>
      <w:r>
        <w:rPr>
          <w:color w:val="FF8100"/>
          <w:spacing w:val="5"/>
        </w:rPr>
        <w:t> </w:t>
      </w:r>
      <w:r>
        <w:rPr>
          <w:color w:val="FF8100"/>
        </w:rPr>
        <w:t>&amp;</w:t>
      </w:r>
      <w:r>
        <w:rPr>
          <w:color w:val="FF8100"/>
          <w:spacing w:val="5"/>
        </w:rPr>
        <w:t> </w:t>
      </w:r>
      <w:r>
        <w:rPr>
          <w:color w:val="FF8100"/>
        </w:rPr>
        <w:t>DOL</w:t>
      </w:r>
      <w:r>
        <w:rPr>
          <w:color w:val="FF8100"/>
          <w:spacing w:val="5"/>
        </w:rPr>
        <w:t> </w:t>
      </w:r>
      <w:r>
        <w:rPr>
          <w:color w:val="FF8100"/>
        </w:rPr>
        <w:t>AUDIT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DEFENSE</w:t>
      </w:r>
    </w:p>
    <w:p>
      <w:pPr>
        <w:pStyle w:val="BodyText"/>
        <w:spacing w:line="292" w:lineRule="auto" w:before="147"/>
        <w:ind w:right="780"/>
      </w:pPr>
      <w:r>
        <w:rPr>
          <w:color w:val="6E6158"/>
        </w:rPr>
        <w:t>We defend and advise plans during governmental audits and are experienced in representing</w:t>
      </w:r>
      <w:r>
        <w:rPr>
          <w:color w:val="6E6158"/>
          <w:spacing w:val="40"/>
        </w:rPr>
        <w:t> </w:t>
      </w:r>
      <w:r>
        <w:rPr>
          <w:color w:val="6E6158"/>
        </w:rPr>
        <w:t>employers on qualified plan and employee benefit matters before both local and national</w:t>
      </w:r>
      <w:r>
        <w:rPr>
          <w:color w:val="6E6158"/>
          <w:spacing w:val="40"/>
        </w:rPr>
        <w:t> </w:t>
      </w:r>
      <w:r>
        <w:rPr>
          <w:color w:val="6E6158"/>
        </w:rPr>
        <w:t>offices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hyperlink r:id="rId15">
        <w:r>
          <w:rPr>
            <w:color w:val="F5821F"/>
          </w:rPr>
          <w:t>Internal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Revenue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Service</w:t>
        </w:r>
      </w:hyperlink>
      <w:r>
        <w:rPr>
          <w:color w:val="6E6158"/>
        </w:rPr>
        <w:t>,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hyperlink r:id="rId16">
        <w:r>
          <w:rPr>
            <w:color w:val="F5821F"/>
          </w:rPr>
          <w:t>U.S.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Department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Labor</w:t>
        </w:r>
      </w:hyperlink>
      <w:r>
        <w:rPr>
          <w:color w:val="6E6158"/>
        </w:rPr>
        <w:t>,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well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hyperlink r:id="rId17">
        <w:r>
          <w:rPr>
            <w:color w:val="F5821F"/>
          </w:rPr>
          <w:t>Pension</w:t>
        </w:r>
      </w:hyperlink>
    </w:p>
    <w:p>
      <w:pPr>
        <w:pStyle w:val="BodyText"/>
        <w:spacing w:line="292" w:lineRule="auto" w:before="10"/>
        <w:ind w:right="663"/>
      </w:pPr>
      <w:hyperlink r:id="rId17">
        <w:r>
          <w:rPr>
            <w:color w:val="F5821F"/>
          </w:rPr>
          <w:t>Benefit Guaranty Corporation</w:t>
        </w:r>
      </w:hyperlink>
      <w:r>
        <w:rPr>
          <w:color w:val="6E6158"/>
        </w:rPr>
        <w:t>. We regularly advise clients concerning fiduciary and </w:t>
      </w:r>
      <w:r>
        <w:rPr>
          <w:color w:val="6E6158"/>
        </w:rPr>
        <w:t>prohibited</w:t>
      </w:r>
      <w:r>
        <w:rPr>
          <w:color w:val="6E6158"/>
          <w:spacing w:val="40"/>
        </w:rPr>
        <w:t> </w:t>
      </w:r>
      <w:r>
        <w:rPr>
          <w:color w:val="6E6158"/>
        </w:rPr>
        <w:t>transaction issues. We also advise employers regarding the implications and liabilities involved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7"/>
        </w:rPr>
        <w:t> </w:t>
      </w:r>
      <w:r>
        <w:rPr>
          <w:color w:val="6E6158"/>
        </w:rPr>
        <w:t>participation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multiemployer</w:t>
      </w:r>
      <w:r>
        <w:rPr>
          <w:color w:val="6E6158"/>
          <w:spacing w:val="37"/>
        </w:rPr>
        <w:t> </w:t>
      </w:r>
      <w:r>
        <w:rPr>
          <w:color w:val="6E6158"/>
        </w:rPr>
        <w:t>union</w:t>
      </w:r>
      <w:r>
        <w:rPr>
          <w:color w:val="6E6158"/>
          <w:spacing w:val="37"/>
        </w:rPr>
        <w:t> </w:t>
      </w:r>
      <w:r>
        <w:rPr>
          <w:color w:val="6E6158"/>
        </w:rPr>
        <w:t>pension</w:t>
      </w:r>
      <w:r>
        <w:rPr>
          <w:color w:val="6E6158"/>
          <w:spacing w:val="37"/>
        </w:rPr>
        <w:t> </w:t>
      </w:r>
      <w:r>
        <w:rPr>
          <w:color w:val="6E6158"/>
        </w:rPr>
        <w:t>plans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multiple</w:t>
      </w:r>
      <w:r>
        <w:rPr>
          <w:color w:val="6E6158"/>
          <w:spacing w:val="37"/>
        </w:rPr>
        <w:t> </w:t>
      </w:r>
      <w:r>
        <w:rPr>
          <w:color w:val="6E6158"/>
        </w:rPr>
        <w:t>employer</w:t>
      </w:r>
      <w:r>
        <w:rPr>
          <w:color w:val="6E6158"/>
          <w:spacing w:val="37"/>
        </w:rPr>
        <w:t> </w:t>
      </w:r>
      <w:r>
        <w:rPr>
          <w:color w:val="6E6158"/>
        </w:rPr>
        <w:t>plans.</w:t>
      </w:r>
    </w:p>
    <w:p>
      <w:pPr>
        <w:pStyle w:val="Heading1"/>
      </w:pPr>
      <w:r>
        <w:rPr>
          <w:color w:val="FF8100"/>
        </w:rPr>
        <w:t>NON-QUALIFIED</w:t>
      </w:r>
      <w:r>
        <w:rPr>
          <w:color w:val="FF8100"/>
          <w:spacing w:val="15"/>
        </w:rPr>
        <w:t> </w:t>
      </w:r>
      <w:r>
        <w:rPr>
          <w:color w:val="FF8100"/>
        </w:rPr>
        <w:t>DEFERRED</w:t>
      </w:r>
      <w:r>
        <w:rPr>
          <w:color w:val="FF8100"/>
          <w:spacing w:val="16"/>
        </w:rPr>
        <w:t> </w:t>
      </w:r>
      <w:r>
        <w:rPr>
          <w:color w:val="FF8100"/>
          <w:spacing w:val="-2"/>
        </w:rPr>
        <w:t>COMPENSATION</w:t>
      </w:r>
    </w:p>
    <w:p>
      <w:pPr>
        <w:pStyle w:val="BodyText"/>
        <w:spacing w:line="297" w:lineRule="auto"/>
        <w:ind w:right="780"/>
      </w:pPr>
      <w:r>
        <w:rPr>
          <w:color w:val="6E6158"/>
        </w:rPr>
        <w:t>Our employment law attorneys have extensive experience in designing and documenting </w:t>
      </w:r>
      <w:r>
        <w:rPr>
          <w:color w:val="6E6158"/>
        </w:rPr>
        <w:t>non-</w:t>
      </w:r>
      <w:r>
        <w:rPr>
          <w:color w:val="6E6158"/>
          <w:spacing w:val="40"/>
        </w:rPr>
        <w:t> </w:t>
      </w:r>
      <w:r>
        <w:rPr>
          <w:color w:val="6E6158"/>
        </w:rPr>
        <w:t>qualified deferred compensation plans of all types, including 457(b) and 457(f) plans which are</w:t>
      </w:r>
      <w:r>
        <w:rPr>
          <w:color w:val="6E6158"/>
          <w:spacing w:val="40"/>
        </w:rPr>
        <w:t> </w:t>
      </w:r>
      <w:r>
        <w:rPr>
          <w:color w:val="6E6158"/>
        </w:rPr>
        <w:t>unique to nonprofit and governmental entities. We also work with clients in correcting plan</w:t>
      </w:r>
      <w:r>
        <w:rPr>
          <w:color w:val="6E6158"/>
          <w:spacing w:val="80"/>
        </w:rPr>
        <w:t> </w:t>
      </w:r>
      <w:r>
        <w:rPr>
          <w:color w:val="6E6158"/>
        </w:rPr>
        <w:t>failures under these arrangements and minimizing related financial exposure by implementing</w:t>
      </w:r>
      <w:r>
        <w:rPr>
          <w:color w:val="6E6158"/>
          <w:spacing w:val="40"/>
        </w:rPr>
        <w:t> </w:t>
      </w:r>
      <w:r>
        <w:rPr>
          <w:color w:val="6E6158"/>
        </w:rPr>
        <w:t>administrative policies and controls to minimize any plan errors.</w:t>
      </w:r>
    </w:p>
    <w:p>
      <w:pPr>
        <w:pStyle w:val="Heading1"/>
        <w:spacing w:before="158"/>
      </w:pPr>
      <w:r>
        <w:rPr>
          <w:color w:val="FF8100"/>
        </w:rPr>
        <w:t>QUALIFIED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PLANS</w:t>
      </w:r>
    </w:p>
    <w:p>
      <w:pPr>
        <w:pStyle w:val="BodyText"/>
      </w:pPr>
      <w:r>
        <w:rPr>
          <w:color w:val="6E6158"/>
        </w:rPr>
        <w:t>Our</w:t>
      </w:r>
      <w:r>
        <w:rPr>
          <w:color w:val="6E6158"/>
          <w:spacing w:val="14"/>
        </w:rPr>
        <w:t> </w:t>
      </w:r>
      <w:r>
        <w:rPr>
          <w:color w:val="6E6158"/>
        </w:rPr>
        <w:t>employee</w:t>
      </w:r>
      <w:r>
        <w:rPr>
          <w:color w:val="6E6158"/>
          <w:spacing w:val="14"/>
        </w:rPr>
        <w:t> </w:t>
      </w:r>
      <w:r>
        <w:rPr>
          <w:color w:val="6E6158"/>
        </w:rPr>
        <w:t>benefits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4"/>
        </w:rPr>
        <w:t> </w:t>
      </w:r>
      <w:r>
        <w:rPr>
          <w:color w:val="6E6158"/>
        </w:rPr>
        <w:t>practice</w:t>
      </w:r>
      <w:r>
        <w:rPr>
          <w:color w:val="6E6158"/>
          <w:spacing w:val="14"/>
        </w:rPr>
        <w:t> </w:t>
      </w:r>
      <w:r>
        <w:rPr>
          <w:color w:val="6E6158"/>
        </w:rPr>
        <w:t>members</w:t>
      </w:r>
      <w:r>
        <w:rPr>
          <w:color w:val="6E6158"/>
          <w:spacing w:val="14"/>
        </w:rPr>
        <w:t> </w:t>
      </w:r>
      <w:r>
        <w:rPr>
          <w:color w:val="6E6158"/>
        </w:rPr>
        <w:t>have</w:t>
      </w:r>
      <w:r>
        <w:rPr>
          <w:color w:val="6E6158"/>
          <w:spacing w:val="14"/>
        </w:rPr>
        <w:t> </w:t>
      </w:r>
      <w:r>
        <w:rPr>
          <w:color w:val="6E6158"/>
        </w:rPr>
        <w:t>extensive</w:t>
      </w:r>
      <w:r>
        <w:rPr>
          <w:color w:val="6E6158"/>
          <w:spacing w:val="14"/>
        </w:rPr>
        <w:t> </w:t>
      </w:r>
      <w:r>
        <w:rPr>
          <w:color w:val="6E6158"/>
        </w:rPr>
        <w:t>experience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preparing,</w:t>
      </w:r>
    </w:p>
    <w:p>
      <w:pPr>
        <w:pStyle w:val="BodyText"/>
        <w:spacing w:line="295" w:lineRule="auto" w:before="52"/>
        <w:ind w:right="736"/>
      </w:pPr>
      <w:r>
        <w:rPr>
          <w:color w:val="6E6158"/>
        </w:rPr>
        <w:t>analyzing, designing and amending plan documents, and providing counsel with respect to</w:t>
      </w:r>
      <w:r>
        <w:rPr>
          <w:color w:val="6E6158"/>
          <w:spacing w:val="40"/>
        </w:rPr>
        <w:t> </w:t>
      </w:r>
      <w:r>
        <w:rPr>
          <w:color w:val="6E6158"/>
        </w:rPr>
        <w:t>defined benefit, cash balance, section 401(k), profit sharing, money purchase pension,</w:t>
      </w:r>
      <w:r>
        <w:rPr>
          <w:color w:val="6E6158"/>
          <w:spacing w:val="40"/>
        </w:rPr>
        <w:t> </w:t>
      </w:r>
      <w:r>
        <w:rPr>
          <w:color w:val="6E6158"/>
        </w:rPr>
        <w:t>employee stock ownership plans (ESOP), multiemployer and multiple employer plans qualified</w:t>
      </w:r>
      <w:r>
        <w:rPr>
          <w:color w:val="6E6158"/>
          <w:spacing w:val="40"/>
        </w:rPr>
        <w:t> </w:t>
      </w:r>
      <w:r>
        <w:rPr>
          <w:color w:val="6E6158"/>
        </w:rPr>
        <w:t>under Code Section 401(a), as well as plans authorized under Code Section 403(b). In addition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plan</w:t>
      </w:r>
      <w:r>
        <w:rPr>
          <w:color w:val="6E6158"/>
          <w:spacing w:val="32"/>
        </w:rPr>
        <w:t> </w:t>
      </w:r>
      <w:r>
        <w:rPr>
          <w:color w:val="6E6158"/>
        </w:rPr>
        <w:t>documents,</w:t>
      </w:r>
      <w:r>
        <w:rPr>
          <w:color w:val="6E6158"/>
          <w:spacing w:val="32"/>
        </w:rPr>
        <w:t> </w:t>
      </w:r>
      <w:r>
        <w:rPr>
          <w:color w:val="6E6158"/>
        </w:rPr>
        <w:t>we</w:t>
      </w:r>
      <w:r>
        <w:rPr>
          <w:color w:val="6E6158"/>
          <w:spacing w:val="32"/>
        </w:rPr>
        <w:t> </w:t>
      </w:r>
      <w:r>
        <w:rPr>
          <w:color w:val="6E6158"/>
        </w:rPr>
        <w:t>review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provide</w:t>
      </w:r>
      <w:r>
        <w:rPr>
          <w:color w:val="6E6158"/>
          <w:spacing w:val="32"/>
        </w:rPr>
        <w:t> </w:t>
      </w:r>
      <w:r>
        <w:rPr>
          <w:color w:val="6E6158"/>
        </w:rPr>
        <w:t>advice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ancillary</w:t>
      </w:r>
      <w:r>
        <w:rPr>
          <w:color w:val="6E6158"/>
          <w:spacing w:val="32"/>
        </w:rPr>
        <w:t> </w:t>
      </w:r>
      <w:r>
        <w:rPr>
          <w:color w:val="6E6158"/>
        </w:rPr>
        <w:t>documents</w:t>
      </w:r>
      <w:r>
        <w:rPr>
          <w:color w:val="6E6158"/>
          <w:spacing w:val="32"/>
        </w:rPr>
        <w:t> </w:t>
      </w:r>
      <w:r>
        <w:rPr>
          <w:color w:val="6E6158"/>
        </w:rPr>
        <w:t>including</w:t>
      </w:r>
      <w:r>
        <w:rPr>
          <w:color w:val="6E6158"/>
          <w:spacing w:val="32"/>
        </w:rPr>
        <w:t> </w:t>
      </w:r>
      <w:r>
        <w:rPr>
          <w:color w:val="6E6158"/>
        </w:rPr>
        <w:t>trusts,</w:t>
      </w:r>
    </w:p>
    <w:p>
      <w:pPr>
        <w:pStyle w:val="BodyText"/>
        <w:spacing w:line="302" w:lineRule="auto" w:before="0"/>
        <w:ind w:right="508"/>
      </w:pPr>
      <w:r>
        <w:rPr>
          <w:color w:val="6E6158"/>
        </w:rPr>
        <w:t>service agreements, required notices of all types, and administrative policies and forms </w:t>
      </w:r>
      <w:r>
        <w:rPr>
          <w:color w:val="6E6158"/>
        </w:rPr>
        <w:t>provided</w:t>
      </w:r>
      <w:r>
        <w:rPr>
          <w:color w:val="6E6158"/>
          <w:spacing w:val="40"/>
        </w:rPr>
        <w:t> </w:t>
      </w:r>
      <w:r>
        <w:rPr>
          <w:color w:val="6E6158"/>
        </w:rPr>
        <w:t>by third parties.</w:t>
      </w:r>
    </w:p>
    <w:p>
      <w:pPr>
        <w:pStyle w:val="Heading1"/>
        <w:spacing w:before="152"/>
      </w:pPr>
      <w:r>
        <w:rPr>
          <w:color w:val="FF8100"/>
        </w:rPr>
        <w:t>WELFARE</w:t>
      </w:r>
      <w:r>
        <w:rPr>
          <w:color w:val="FF8100"/>
          <w:spacing w:val="7"/>
        </w:rPr>
        <w:t> </w:t>
      </w:r>
      <w:r>
        <w:rPr>
          <w:color w:val="FF8100"/>
        </w:rPr>
        <w:t>&amp;</w:t>
      </w:r>
      <w:r>
        <w:rPr>
          <w:color w:val="FF8100"/>
          <w:spacing w:val="8"/>
        </w:rPr>
        <w:t> </w:t>
      </w:r>
      <w:r>
        <w:rPr>
          <w:color w:val="FF8100"/>
        </w:rPr>
        <w:t>FRINGE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BENEFITS</w:t>
      </w:r>
    </w:p>
    <w:p>
      <w:pPr>
        <w:pStyle w:val="BodyText"/>
        <w:spacing w:line="295" w:lineRule="auto"/>
        <w:ind w:right="478"/>
      </w:pPr>
      <w:r>
        <w:rPr>
          <w:color w:val="6E6158"/>
        </w:rPr>
        <w:t>Our practitioners work with clients in the design, documentation, and compliance with</w:t>
      </w:r>
      <w:r>
        <w:rPr>
          <w:color w:val="6E6158"/>
          <w:spacing w:val="40"/>
        </w:rPr>
        <w:t> </w:t>
      </w:r>
      <w:r>
        <w:rPr>
          <w:color w:val="6E6158"/>
        </w:rPr>
        <w:t>requirements for medical, dental, cafeteria, life insurance, and flexible benefit arrangements</w:t>
      </w:r>
      <w:r>
        <w:rPr>
          <w:color w:val="6E6158"/>
          <w:spacing w:val="40"/>
        </w:rPr>
        <w:t> </w:t>
      </w:r>
      <w:r>
        <w:rPr>
          <w:color w:val="6E6158"/>
        </w:rPr>
        <w:t>whether they are fully-insured, self-funded or funded through a voluntary employee benefits</w:t>
      </w:r>
      <w:r>
        <w:rPr>
          <w:color w:val="6E6158"/>
          <w:spacing w:val="40"/>
        </w:rPr>
        <w:t> </w:t>
      </w:r>
      <w:r>
        <w:rPr>
          <w:color w:val="6E6158"/>
        </w:rPr>
        <w:t>association (VEBA). We advise clients on ACA compliance requirements including coverage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reporting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provisions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ACA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impact</w:t>
      </w:r>
      <w:r>
        <w:rPr>
          <w:color w:val="6E6158"/>
          <w:spacing w:val="27"/>
        </w:rPr>
        <w:t> </w:t>
      </w:r>
      <w:r>
        <w:rPr>
          <w:color w:val="6E6158"/>
        </w:rPr>
        <w:t>small</w:t>
      </w:r>
      <w:r>
        <w:rPr>
          <w:color w:val="6E6158"/>
          <w:spacing w:val="27"/>
        </w:rPr>
        <w:t> </w:t>
      </w:r>
      <w:r>
        <w:rPr>
          <w:color w:val="6E6158"/>
        </w:rPr>
        <w:t>employers’</w:t>
      </w:r>
      <w:r>
        <w:rPr>
          <w:color w:val="6E6158"/>
          <w:spacing w:val="27"/>
        </w:rPr>
        <w:t> </w:t>
      </w:r>
      <w:r>
        <w:rPr>
          <w:color w:val="6E6158"/>
        </w:rPr>
        <w:t>provision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benefits</w:t>
      </w:r>
      <w:r>
        <w:rPr>
          <w:color w:val="6E6158"/>
          <w:spacing w:val="27"/>
        </w:rPr>
        <w:t> </w:t>
      </w:r>
      <w:r>
        <w:rPr>
          <w:color w:val="6E6158"/>
        </w:rPr>
        <w:t>and the means to stay compliant. We also advise clients on satisfying COBRA responsibilities and the</w:t>
      </w:r>
      <w:r>
        <w:rPr>
          <w:color w:val="6E6158"/>
          <w:spacing w:val="40"/>
        </w:rPr>
        <w:t> </w:t>
      </w:r>
      <w:r>
        <w:rPr>
          <w:color w:val="6E6158"/>
        </w:rPr>
        <w:t>proper handling and disclosure of protected health information (PHI) under HIPAA.</w:t>
      </w:r>
    </w:p>
    <w:sectPr>
      <w:pgSz w:w="12240" w:h="15840"/>
      <w:pgMar w:top="5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6"/>
      <w:ind w:left="46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3"/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erisa-and-employee-benefits/" TargetMode="External"/><Relationship Id="rId10" Type="http://schemas.openxmlformats.org/officeDocument/2006/relationships/hyperlink" Target="https://www.fennemorelaw.com/services/employment-and-labor-relations/" TargetMode="External"/><Relationship Id="rId11" Type="http://schemas.openxmlformats.org/officeDocument/2006/relationships/hyperlink" Target="https://www.fennemorelaw.com/people/attorneys/ryan-c-curtis/" TargetMode="External"/><Relationship Id="rId12" Type="http://schemas.openxmlformats.org/officeDocument/2006/relationships/hyperlink" Target="https://www.fennemorelaw.com/contact-us/#phoenix" TargetMode="External"/><Relationship Id="rId13" Type="http://schemas.openxmlformats.org/officeDocument/2006/relationships/hyperlink" Target="mailto:rcurtis@fennemorelaw.com" TargetMode="External"/><Relationship Id="rId14" Type="http://schemas.openxmlformats.org/officeDocument/2006/relationships/hyperlink" Target="https://www.fennemorelaw.com/people/attorneys/a-d/curtis-ryan-c" TargetMode="External"/><Relationship Id="rId15" Type="http://schemas.openxmlformats.org/officeDocument/2006/relationships/hyperlink" Target="https://www.irs.gov/" TargetMode="External"/><Relationship Id="rId16" Type="http://schemas.openxmlformats.org/officeDocument/2006/relationships/hyperlink" Target="https://www.dol.gov/" TargetMode="External"/><Relationship Id="rId17" Type="http://schemas.openxmlformats.org/officeDocument/2006/relationships/hyperlink" Target="https://www.pbgc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2025-03-28T07:46:12Z</dcterms:created>
  <dcterms:modified xsi:type="dcterms:W3CDTF">2025-03-28T07:46:12Z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