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8"/>
        <w:rPr>
          <w:rFonts w:ascii="Times New Roman"/>
          <w:sz w:val="20"/>
        </w:rPr>
      </w:pPr>
    </w:p>
    <w:p>
      <w:pPr>
        <w:spacing w:before="0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line="218" w:lineRule="auto" w:before="118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43820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2"/>
            <w:sz w:val="16"/>
          </w:rPr>
          <w:t>INSURANCE</w:t>
        </w:r>
      </w:hyperlink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COVERAGE</w:t>
        </w:r>
      </w:hyperlink>
    </w:p>
    <w:p>
      <w:pPr>
        <w:pStyle w:val="BodyText"/>
        <w:spacing w:before="48"/>
        <w:rPr>
          <w:sz w:val="16"/>
        </w:rPr>
      </w:pPr>
    </w:p>
    <w:p>
      <w:pPr>
        <w:spacing w:line="218" w:lineRule="auto" w:before="1"/>
        <w:ind w:left="3172" w:right="0" w:firstLine="0"/>
        <w:jc w:val="left"/>
        <w:rPr>
          <w:sz w:val="16"/>
        </w:rPr>
      </w:pPr>
      <w:hyperlink r:id="rId7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7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8">
        <w:r>
          <w:rPr>
            <w:b/>
            <w:sz w:val="16"/>
          </w:rPr>
          <w:t>Robert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P.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Allenby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z w:val="12"/>
          </w:rPr>
          <w:t>San</w:t>
        </w:r>
        <w:r>
          <w:rPr>
            <w:b/>
            <w:spacing w:val="2"/>
            <w:sz w:val="12"/>
          </w:rPr>
          <w:t> </w:t>
        </w:r>
        <w:r>
          <w:rPr>
            <w:b/>
            <w:spacing w:val="-2"/>
            <w:sz w:val="12"/>
          </w:rPr>
          <w:t>Diego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619.595.3209</w:t>
      </w:r>
    </w:p>
    <w:p>
      <w:pPr>
        <w:spacing w:before="8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619.231.4372</w:t>
      </w:r>
    </w:p>
    <w:p>
      <w:pPr>
        <w:spacing w:line="266" w:lineRule="auto" w:before="15"/>
        <w:ind w:left="3172" w:right="0" w:firstLine="0"/>
        <w:jc w:val="left"/>
        <w:rPr>
          <w:sz w:val="12"/>
        </w:rPr>
      </w:pPr>
      <w:hyperlink r:id="rId10">
        <w:r>
          <w:rPr>
            <w:color w:val="002E6B"/>
            <w:spacing w:val="-2"/>
            <w:sz w:val="12"/>
            <w:u w:val="single" w:color="002E6B"/>
          </w:rPr>
          <w:t>rallenby@fennemorela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0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line="218" w:lineRule="auto" w:before="118"/>
        <w:ind w:left="3172" w:right="85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pacing w:val="-2"/>
            <w:sz w:val="16"/>
          </w:rPr>
          <w:t>INSURANCE</w:t>
        </w:r>
      </w:hyperlink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COVERAGE</w:t>
        </w:r>
      </w:hyperlink>
    </w:p>
    <w:p>
      <w:pPr>
        <w:pStyle w:val="BodyText"/>
        <w:spacing w:before="48"/>
        <w:rPr>
          <w:sz w:val="16"/>
        </w:rPr>
      </w:pPr>
    </w:p>
    <w:p>
      <w:pPr>
        <w:spacing w:line="218" w:lineRule="auto" w:before="1"/>
        <w:ind w:left="3172" w:right="85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-412874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7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12">
        <w:r>
          <w:rPr>
            <w:b/>
            <w:sz w:val="16"/>
          </w:rPr>
          <w:t>Timothy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C.</w:t>
        </w:r>
        <w:r>
          <w:rPr>
            <w:b/>
            <w:spacing w:val="4"/>
            <w:sz w:val="16"/>
          </w:rPr>
          <w:t> </w:t>
        </w:r>
        <w:r>
          <w:rPr>
            <w:b/>
            <w:spacing w:val="-4"/>
            <w:sz w:val="16"/>
          </w:rPr>
          <w:t>Earl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z w:val="12"/>
          </w:rPr>
          <w:t>San</w:t>
        </w:r>
        <w:r>
          <w:rPr>
            <w:b/>
            <w:spacing w:val="2"/>
            <w:sz w:val="12"/>
          </w:rPr>
          <w:t> </w:t>
        </w:r>
        <w:r>
          <w:rPr>
            <w:b/>
            <w:spacing w:val="-2"/>
            <w:sz w:val="12"/>
          </w:rPr>
          <w:t>Diego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619.595.3279</w:t>
      </w:r>
    </w:p>
    <w:p>
      <w:pPr>
        <w:spacing w:before="8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619.231.4372</w:t>
      </w:r>
    </w:p>
    <w:p>
      <w:pPr>
        <w:spacing w:line="266" w:lineRule="auto" w:before="15"/>
        <w:ind w:left="3172" w:right="85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tearl@fennemorelaw.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554" w:space="101"/>
            <w:col w:w="4705"/>
          </w:cols>
        </w:sectPr>
      </w:pPr>
    </w:p>
    <w:p>
      <w:pPr>
        <w:pStyle w:val="BodyText"/>
        <w:spacing w:before="259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3668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4366895"/>
                          <a:chExt cx="6066790" cy="43668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28139">
                                <a:moveTo>
                                  <a:pt x="6066424" y="1627703"/>
                                </a:moveTo>
                                <a:lnTo>
                                  <a:pt x="0" y="1627703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27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5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94959" y="968386"/>
                            <a:ext cx="2689225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Insurance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Coverage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0041" y="1673361"/>
                            <a:ext cx="503936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891" w:right="18" w:hanging="89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insurance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coverage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substantial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 complex and nuanced aspects of insurance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77680" y="3151454"/>
                            <a:ext cx="4527550" cy="85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include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contractors,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owners,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developers,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professionals,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manufacturers,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medical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associations,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kinds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businesses.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litigation,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real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estate,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business and finance law, environmental law, employment law, and other areas of the law work together in our insurance coverage legal practice to assist clients with insurance disputes arising</w:t>
                              </w:r>
                            </w:p>
                            <w:p>
                              <w:pPr>
                                <w:spacing w:before="2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construction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projects,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activities,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theft,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natural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disasters,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43.85pt;mso-position-horizontal-relative:page;mso-position-vertical-relative:page;z-index:15728640" id="docshapegroup1" coordorigin="1341,560" coordsize="9554,6877">
                <v:rect style="position:absolute;left:1341;top:4872;width:9554;height:2564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4" o:title=""/>
                </v:shape>
                <v:shape style="position:absolute;left:1341;top:983;width:9554;height:3890" type="#_x0000_t75" id="docshape4" stroked="false">
                  <v:imagedata r:id="rId16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010;top:2085;width:4235;height:514" type="#_x0000_t202" id="docshape6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Insurance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Coverage</w:t>
                        </w:r>
                      </w:p>
                    </w:txbxContent>
                  </v:textbox>
                  <w10:wrap type="none"/>
                </v:shape>
                <v:shape style="position:absolute;left:2160;top:3195;width:7936;height:557" type="#_x0000_t202" id="docshape7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891" w:right="18" w:hanging="89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insurance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coverage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have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substantial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with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 complex and nuanced aspects of insurance coverage.</w:t>
                        </w:r>
                      </w:p>
                    </w:txbxContent>
                  </v:textbox>
                  <w10:wrap type="none"/>
                </v:shape>
                <v:shape style="position:absolute;left:2565;top:5522;width:7130;height:1339" type="#_x0000_t202" id="docshape8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include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general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contractors,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owners,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developers,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design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professionals,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manufacturers,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medical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associations,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kinds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businesses.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litigation,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real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estate,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business and finance law, environmental law, employment law, and other areas of the law work together in our insurance coverage legal practice to assist clients with insurance disputes arising</w:t>
                        </w:r>
                      </w:p>
                      <w:p>
                        <w:pPr>
                          <w:spacing w:before="2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construction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projects,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activities,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theft,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natural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disasters,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etc.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FF8100"/>
        </w:rPr>
        <w:t>INSURANCE</w:t>
      </w:r>
      <w:r>
        <w:rPr>
          <w:color w:val="FF8100"/>
          <w:spacing w:val="11"/>
        </w:rPr>
        <w:t> </w:t>
      </w:r>
      <w:r>
        <w:rPr>
          <w:color w:val="FF8100"/>
        </w:rPr>
        <w:t>COVERAGE</w:t>
      </w:r>
      <w:r>
        <w:rPr>
          <w:color w:val="FF8100"/>
          <w:spacing w:val="11"/>
        </w:rPr>
        <w:t> </w:t>
      </w:r>
      <w:r>
        <w:rPr>
          <w:color w:val="FF8100"/>
        </w:rPr>
        <w:t>DISPUTES</w:t>
      </w:r>
      <w:r>
        <w:rPr>
          <w:color w:val="FF8100"/>
          <w:spacing w:val="12"/>
        </w:rPr>
        <w:t> </w:t>
      </w:r>
      <w:r>
        <w:rPr>
          <w:color w:val="FF8100"/>
        </w:rPr>
        <w:t>AND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6"/>
        <w:ind w:left="104" w:right="165"/>
      </w:pPr>
      <w:r>
        <w:rPr>
          <w:color w:val="6E6158"/>
        </w:rPr>
        <w:t>Fennemore’s Insurance Coverage Practice Group represents the interests of policyholders in</w:t>
      </w:r>
      <w:r>
        <w:rPr>
          <w:color w:val="6E6158"/>
          <w:spacing w:val="40"/>
        </w:rPr>
        <w:t> </w:t>
      </w:r>
      <w:r>
        <w:rPr>
          <w:color w:val="6E6158"/>
        </w:rPr>
        <w:t>maximizing insurance coverage for litigation matters and for losses under first party policies, and</w:t>
      </w:r>
      <w:r>
        <w:rPr>
          <w:color w:val="6E6158"/>
          <w:spacing w:val="40"/>
        </w:rPr>
        <w:t> </w:t>
      </w:r>
      <w:r>
        <w:rPr>
          <w:color w:val="6E6158"/>
        </w:rPr>
        <w:t>represents</w:t>
      </w:r>
      <w:r>
        <w:rPr>
          <w:color w:val="6E6158"/>
          <w:spacing w:val="33"/>
        </w:rPr>
        <w:t> </w:t>
      </w:r>
      <w:r>
        <w:rPr>
          <w:color w:val="6E6158"/>
        </w:rPr>
        <w:t>insurance</w:t>
      </w:r>
      <w:r>
        <w:rPr>
          <w:color w:val="6E6158"/>
          <w:spacing w:val="33"/>
        </w:rPr>
        <w:t> </w:t>
      </w:r>
      <w:r>
        <w:rPr>
          <w:color w:val="6E6158"/>
        </w:rPr>
        <w:t>carriers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coverage</w:t>
      </w:r>
      <w:r>
        <w:rPr>
          <w:color w:val="6E6158"/>
          <w:spacing w:val="33"/>
        </w:rPr>
        <w:t> </w:t>
      </w:r>
      <w:r>
        <w:rPr>
          <w:color w:val="6E6158"/>
        </w:rPr>
        <w:t>disputes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litigation.</w:t>
      </w:r>
      <w:r>
        <w:rPr>
          <w:color w:val="6E6158"/>
          <w:spacing w:val="80"/>
        </w:rPr>
        <w:t> </w:t>
      </w:r>
      <w:r>
        <w:rPr>
          <w:color w:val="6E6158"/>
        </w:rPr>
        <w:t>We</w:t>
      </w:r>
      <w:r>
        <w:rPr>
          <w:color w:val="6E6158"/>
          <w:spacing w:val="33"/>
        </w:rPr>
        <w:t> </w:t>
      </w:r>
      <w:r>
        <w:rPr>
          <w:color w:val="6E6158"/>
        </w:rPr>
        <w:t>aggressively</w:t>
      </w:r>
      <w:r>
        <w:rPr>
          <w:color w:val="6E6158"/>
          <w:spacing w:val="33"/>
        </w:rPr>
        <w:t> </w:t>
      </w:r>
      <w:r>
        <w:rPr>
          <w:color w:val="6E6158"/>
        </w:rPr>
        <w:t>litigate insurance coverage issues on behalf of our clients – both prosecuting bad faith claims against</w:t>
      </w:r>
      <w:r>
        <w:rPr>
          <w:color w:val="6E6158"/>
          <w:spacing w:val="40"/>
        </w:rPr>
        <w:t> </w:t>
      </w:r>
      <w:r>
        <w:rPr>
          <w:color w:val="6E6158"/>
        </w:rPr>
        <w:t>insurers, and defending against insurer’s recovery actions against their insureds, and we will take</w:t>
      </w:r>
      <w:r>
        <w:rPr>
          <w:color w:val="6E6158"/>
          <w:spacing w:val="40"/>
        </w:rPr>
        <w:t> </w:t>
      </w:r>
      <w:r>
        <w:rPr>
          <w:color w:val="6E6158"/>
        </w:rPr>
        <w:t>cases to trial if necessary.</w:t>
      </w:r>
      <w:r>
        <w:rPr>
          <w:color w:val="6E6158"/>
          <w:spacing w:val="80"/>
        </w:rPr>
        <w:t> </w:t>
      </w:r>
      <w:r>
        <w:rPr>
          <w:color w:val="6E6158"/>
        </w:rPr>
        <w:t>Our knowledge and experience spans all major property and casualty</w:t>
      </w:r>
      <w:r>
        <w:rPr>
          <w:color w:val="6E6158"/>
          <w:spacing w:val="40"/>
        </w:rPr>
        <w:t> </w:t>
      </w:r>
      <w:r>
        <w:rPr>
          <w:color w:val="6E6158"/>
        </w:rPr>
        <w:t>commercial insurance lines — including first-party Property and Business Interruption and third-</w:t>
      </w:r>
      <w:r>
        <w:rPr>
          <w:color w:val="6E6158"/>
          <w:spacing w:val="80"/>
        </w:rPr>
        <w:t> </w:t>
      </w:r>
      <w:r>
        <w:rPr>
          <w:color w:val="6E6158"/>
        </w:rPr>
        <w:t>party Commercial General Liability — as well as many specialty coverage areas, such as Auto,</w:t>
      </w:r>
      <w:r>
        <w:rPr>
          <w:color w:val="6E6158"/>
          <w:spacing w:val="40"/>
        </w:rPr>
        <w:t> </w:t>
      </w:r>
      <w:r>
        <w:rPr>
          <w:color w:val="6E6158"/>
        </w:rPr>
        <w:t>Excess/Umbrella,</w:t>
      </w:r>
      <w:r>
        <w:rPr>
          <w:color w:val="6E6158"/>
          <w:spacing w:val="40"/>
        </w:rPr>
        <w:t> </w:t>
      </w:r>
      <w:r>
        <w:rPr>
          <w:color w:val="6E6158"/>
        </w:rPr>
        <w:t>Cyber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E&amp;O/Professional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Crime,</w:t>
      </w:r>
      <w:r>
        <w:rPr>
          <w:color w:val="6E6158"/>
          <w:spacing w:val="40"/>
        </w:rPr>
        <w:t> </w:t>
      </w:r>
      <w:r>
        <w:rPr>
          <w:color w:val="6E6158"/>
        </w:rPr>
        <w:t>D&amp;O,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Liability, and</w:t>
      </w:r>
      <w:r>
        <w:rPr>
          <w:color w:val="6E6158"/>
          <w:spacing w:val="34"/>
        </w:rPr>
        <w:t> </w:t>
      </w:r>
      <w:r>
        <w:rPr>
          <w:color w:val="6E6158"/>
        </w:rPr>
        <w:t>Environmental/Pollution</w:t>
      </w:r>
      <w:r>
        <w:rPr>
          <w:color w:val="6E6158"/>
          <w:spacing w:val="34"/>
        </w:rPr>
        <w:t> </w:t>
      </w:r>
      <w:r>
        <w:rPr>
          <w:color w:val="6E6158"/>
        </w:rPr>
        <w:t>Coverage.</w:t>
      </w:r>
      <w:r>
        <w:rPr>
          <w:color w:val="6E6158"/>
          <w:spacing w:val="80"/>
        </w:rPr>
        <w:t> </w:t>
      </w:r>
      <w:r>
        <w:rPr>
          <w:color w:val="6E6158"/>
        </w:rPr>
        <w:t>We</w:t>
      </w:r>
      <w:r>
        <w:rPr>
          <w:color w:val="6E6158"/>
          <w:spacing w:val="34"/>
        </w:rPr>
        <w:t> </w:t>
      </w:r>
      <w:r>
        <w:rPr>
          <w:color w:val="6E6158"/>
        </w:rPr>
        <w:t>also</w:t>
      </w:r>
      <w:r>
        <w:rPr>
          <w:color w:val="6E6158"/>
          <w:spacing w:val="34"/>
        </w:rPr>
        <w:t> </w:t>
      </w:r>
      <w:r>
        <w:rPr>
          <w:color w:val="6E6158"/>
        </w:rPr>
        <w:t>prosecute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defend</w:t>
      </w:r>
      <w:r>
        <w:rPr>
          <w:color w:val="6E6158"/>
          <w:spacing w:val="34"/>
        </w:rPr>
        <w:t> </w:t>
      </w:r>
      <w:r>
        <w:rPr>
          <w:color w:val="6E6158"/>
        </w:rPr>
        <w:t>bad</w:t>
      </w:r>
      <w:r>
        <w:rPr>
          <w:color w:val="6E6158"/>
          <w:spacing w:val="34"/>
        </w:rPr>
        <w:t> </w:t>
      </w:r>
      <w:r>
        <w:rPr>
          <w:color w:val="6E6158"/>
        </w:rPr>
        <w:t>faith</w:t>
      </w:r>
      <w:r>
        <w:rPr>
          <w:color w:val="6E6158"/>
          <w:spacing w:val="34"/>
        </w:rPr>
        <w:t> </w:t>
      </w:r>
      <w:r>
        <w:rPr>
          <w:color w:val="6E6158"/>
        </w:rPr>
        <w:t>actions.</w:t>
      </w:r>
    </w:p>
    <w:p>
      <w:pPr>
        <w:pStyle w:val="BodyText"/>
        <w:spacing w:line="292" w:lineRule="auto" w:before="7"/>
        <w:ind w:left="104" w:right="67"/>
      </w:pPr>
      <w:r>
        <w:rPr>
          <w:color w:val="6E6158"/>
        </w:rPr>
        <w:t>Many of our insurance matters focus on the construction industry, manufacturing industry,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commercial property ownership/property management.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165"/>
      </w:pPr>
      <w:r>
        <w:rPr>
          <w:color w:val="6E6158"/>
        </w:rPr>
        <w:t>Our Insurance Coverage Group attorneys have recovered hundreds of millions of dollars in</w:t>
      </w:r>
      <w:r>
        <w:rPr>
          <w:color w:val="6E6158"/>
          <w:spacing w:val="40"/>
        </w:rPr>
        <w:t> </w:t>
      </w:r>
      <w:r>
        <w:rPr>
          <w:color w:val="6E6158"/>
        </w:rPr>
        <w:t>insurance benefits for policyholder clients</w:t>
      </w:r>
    </w:p>
    <w:p>
      <w:pPr>
        <w:pStyle w:val="Heading1"/>
        <w:spacing w:before="171"/>
      </w:pPr>
      <w:r>
        <w:rPr>
          <w:color w:val="FF8100"/>
        </w:rPr>
        <w:t>INSURANCE</w:t>
      </w:r>
      <w:r>
        <w:rPr>
          <w:color w:val="FF8100"/>
          <w:spacing w:val="11"/>
        </w:rPr>
        <w:t> </w:t>
      </w:r>
      <w:r>
        <w:rPr>
          <w:color w:val="FF8100"/>
        </w:rPr>
        <w:t>POLICY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PLACEMENT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We help our clients’ decisionmakers make informed business decisions by analyzing insurance</w:t>
      </w:r>
      <w:r>
        <w:rPr>
          <w:color w:val="6E6158"/>
          <w:spacing w:val="40"/>
        </w:rPr>
        <w:t> </w:t>
      </w:r>
      <w:r>
        <w:rPr>
          <w:color w:val="6E6158"/>
        </w:rPr>
        <w:t>policies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help</w:t>
      </w:r>
      <w:r>
        <w:rPr>
          <w:color w:val="6E6158"/>
          <w:spacing w:val="30"/>
        </w:rPr>
        <w:t> </w:t>
      </w:r>
      <w:r>
        <w:rPr>
          <w:color w:val="6E6158"/>
        </w:rPr>
        <w:t>them</w:t>
      </w:r>
      <w:r>
        <w:rPr>
          <w:color w:val="6E6158"/>
          <w:spacing w:val="30"/>
        </w:rPr>
        <w:t> </w:t>
      </w:r>
      <w:r>
        <w:rPr>
          <w:color w:val="6E6158"/>
        </w:rPr>
        <w:t>understand</w:t>
      </w:r>
      <w:r>
        <w:rPr>
          <w:color w:val="6E6158"/>
          <w:spacing w:val="30"/>
        </w:rPr>
        <w:t> </w:t>
      </w:r>
      <w:r>
        <w:rPr>
          <w:color w:val="6E6158"/>
        </w:rPr>
        <w:t>potential</w:t>
      </w:r>
      <w:r>
        <w:rPr>
          <w:color w:val="6E6158"/>
          <w:spacing w:val="30"/>
        </w:rPr>
        <w:t> </w:t>
      </w:r>
      <w:r>
        <w:rPr>
          <w:color w:val="6E6158"/>
        </w:rPr>
        <w:t>risks.</w:t>
      </w:r>
      <w:r>
        <w:rPr>
          <w:color w:val="6E6158"/>
          <w:spacing w:val="30"/>
        </w:rPr>
        <w:t> </w:t>
      </w:r>
      <w:r>
        <w:rPr>
          <w:color w:val="6E6158"/>
        </w:rPr>
        <w:t>Our</w:t>
      </w:r>
      <w:r>
        <w:rPr>
          <w:color w:val="6E6158"/>
          <w:spacing w:val="30"/>
        </w:rPr>
        <w:t> </w:t>
      </w:r>
      <w:r>
        <w:rPr>
          <w:color w:val="6E6158"/>
        </w:rPr>
        <w:t>attorneys</w:t>
      </w:r>
      <w:r>
        <w:rPr>
          <w:color w:val="6E6158"/>
          <w:spacing w:val="30"/>
        </w:rPr>
        <w:t> </w:t>
      </w:r>
      <w:r>
        <w:rPr>
          <w:color w:val="6E6158"/>
        </w:rPr>
        <w:t>also</w:t>
      </w:r>
      <w:r>
        <w:rPr>
          <w:color w:val="6E6158"/>
          <w:spacing w:val="30"/>
        </w:rPr>
        <w:t> </w:t>
      </w:r>
      <w:r>
        <w:rPr>
          <w:color w:val="6E6158"/>
        </w:rPr>
        <w:t>assist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negotiations with insurance underwriters and brokers to secure insurance policies that afford coverage for our</w:t>
      </w:r>
      <w:r>
        <w:rPr>
          <w:color w:val="6E6158"/>
          <w:spacing w:val="40"/>
        </w:rPr>
        <w:t> </w:t>
      </w:r>
      <w:r>
        <w:rPr>
          <w:color w:val="6E6158"/>
        </w:rPr>
        <w:t>clients’ particular anticipated and unanticipated risks.</w:t>
      </w:r>
      <w:r>
        <w:rPr>
          <w:color w:val="6E6158"/>
          <w:spacing w:val="80"/>
        </w:rPr>
        <w:t> </w:t>
      </w:r>
      <w:r>
        <w:rPr>
          <w:color w:val="6E6158"/>
        </w:rPr>
        <w:t>We partner with insurance brokers and insurance</w:t>
      </w:r>
      <w:r>
        <w:rPr>
          <w:color w:val="6E6158"/>
          <w:spacing w:val="38"/>
        </w:rPr>
        <w:t> </w:t>
      </w:r>
      <w:r>
        <w:rPr>
          <w:color w:val="6E6158"/>
        </w:rPr>
        <w:t>consultants</w:t>
      </w:r>
      <w:r>
        <w:rPr>
          <w:color w:val="6E6158"/>
          <w:spacing w:val="38"/>
        </w:rPr>
        <w:t> </w:t>
      </w:r>
      <w:r>
        <w:rPr>
          <w:color w:val="6E6158"/>
        </w:rPr>
        <w:t>where</w:t>
      </w:r>
      <w:r>
        <w:rPr>
          <w:color w:val="6E6158"/>
          <w:spacing w:val="38"/>
        </w:rPr>
        <w:t> </w:t>
      </w:r>
      <w:r>
        <w:rPr>
          <w:color w:val="6E6158"/>
        </w:rPr>
        <w:t>appropriate</w:t>
      </w:r>
      <w:r>
        <w:rPr>
          <w:color w:val="6E6158"/>
          <w:spacing w:val="38"/>
        </w:rPr>
        <w:t> </w:t>
      </w:r>
      <w:r>
        <w:rPr>
          <w:color w:val="6E6158"/>
        </w:rPr>
        <w:t>to</w:t>
      </w:r>
      <w:r>
        <w:rPr>
          <w:color w:val="6E6158"/>
          <w:spacing w:val="38"/>
        </w:rPr>
        <w:t> </w:t>
      </w:r>
      <w:r>
        <w:rPr>
          <w:color w:val="6E6158"/>
        </w:rPr>
        <w:t>secure</w:t>
      </w:r>
      <w:r>
        <w:rPr>
          <w:color w:val="6E6158"/>
          <w:spacing w:val="38"/>
        </w:rPr>
        <w:t> </w:t>
      </w:r>
      <w:r>
        <w:rPr>
          <w:color w:val="6E6158"/>
        </w:rPr>
        <w:t>coverage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address</w:t>
      </w:r>
      <w:r>
        <w:rPr>
          <w:color w:val="6E6158"/>
          <w:spacing w:val="38"/>
        </w:rPr>
        <w:t> </w:t>
      </w:r>
      <w:r>
        <w:rPr>
          <w:color w:val="6E6158"/>
        </w:rPr>
        <w:t>insurance</w:t>
      </w:r>
      <w:r>
        <w:rPr>
          <w:color w:val="6E6158"/>
          <w:spacing w:val="38"/>
        </w:rPr>
        <w:t> </w:t>
      </w:r>
      <w:r>
        <w:rPr>
          <w:color w:val="6E6158"/>
        </w:rPr>
        <w:t>risks.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line="295" w:lineRule="auto" w:before="147"/>
        <w:ind w:left="104" w:right="67"/>
      </w:pPr>
      <w:r>
        <w:rPr>
          <w:color w:val="6E6158"/>
        </w:rPr>
        <w:t>Fennemore insurance coverage attorneys educate our clients and our community on</w:t>
      </w:r>
      <w:r>
        <w:rPr>
          <w:color w:val="6E6158"/>
          <w:spacing w:val="40"/>
        </w:rPr>
        <w:t> </w:t>
      </w:r>
      <w:r>
        <w:rPr>
          <w:color w:val="6E6158"/>
        </w:rPr>
        <w:t>developments in the insurance coverage arena.</w:t>
      </w:r>
      <w:r>
        <w:rPr>
          <w:color w:val="6E6158"/>
          <w:spacing w:val="80"/>
        </w:rPr>
        <w:t> </w:t>
      </w:r>
      <w:r>
        <w:rPr>
          <w:color w:val="6E6158"/>
        </w:rPr>
        <w:t>Our attorneys are sought-after speakers that regularly serve as panelists on a variety of insurance coverage issues at bar association </w:t>
      </w:r>
      <w:r>
        <w:rPr>
          <w:color w:val="6E6158"/>
        </w:rPr>
        <w:t>events,</w:t>
      </w:r>
      <w:r>
        <w:rPr>
          <w:color w:val="6E6158"/>
          <w:spacing w:val="40"/>
        </w:rPr>
        <w:t> </w:t>
      </w:r>
      <w:r>
        <w:rPr>
          <w:color w:val="6E6158"/>
        </w:rPr>
        <w:t>conferences and seminars.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insurance-coverage/" TargetMode="External"/><Relationship Id="rId7" Type="http://schemas.openxmlformats.org/officeDocument/2006/relationships/hyperlink" Target="https://www.fennemorelaw.com/services/business-litigation/" TargetMode="External"/><Relationship Id="rId8" Type="http://schemas.openxmlformats.org/officeDocument/2006/relationships/hyperlink" Target="https://www.fennemorelaw.com/people/attorneys/robert-p-allenby/" TargetMode="External"/><Relationship Id="rId9" Type="http://schemas.openxmlformats.org/officeDocument/2006/relationships/hyperlink" Target="https://www.fennemorelaw.com/contact-us/#san-diego" TargetMode="External"/><Relationship Id="rId10" Type="http://schemas.openxmlformats.org/officeDocument/2006/relationships/hyperlink" Target="mailto:rallenby@fennemorelaw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fennemorelaw.com/people/attorneys/timothy-c-earl/" TargetMode="External"/><Relationship Id="rId13" Type="http://schemas.openxmlformats.org/officeDocument/2006/relationships/hyperlink" Target="mailto:tearl@fennemorelaw.com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www.fennemorelaw.com/" TargetMode="External"/><Relationship Id="rId16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2025-03-28T07:41:47Z</dcterms:created>
  <dcterms:modified xsi:type="dcterms:W3CDTF">2025-03-28T07:41:47Z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