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8265" y="1369338"/>
                            <a:ext cx="210312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3120" h="320675">
                                <a:moveTo>
                                  <a:pt x="2103094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03094" y="320382"/>
                                </a:lnTo>
                                <a:lnTo>
                                  <a:pt x="2103094" y="315214"/>
                                </a:lnTo>
                                <a:close/>
                              </a:path>
                              <a:path w="2103120" h="320675">
                                <a:moveTo>
                                  <a:pt x="21030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03094" y="5168"/>
                                </a:lnTo>
                                <a:lnTo>
                                  <a:pt x="2103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498997" y="763308"/>
                            <a:ext cx="211455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SIDNEY 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ISRAELS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28108" y="1859626"/>
                            <a:ext cx="4565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Modesto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82723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2704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43430" y="2226505"/>
                            <a:ext cx="14255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sisraels@fennemorelaw.com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850;top:2716;width:3312;height:505" id="docshape5" coordorigin="6850,2716" coordsize="3312,505" path="m10162,3213l6850,3213,6850,3221,10162,3221,10162,3213xm10162,2716l6850,2716,6850,2725,10162,2725,10162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51;top:1762;width:3330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SIDNEY 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ISRAELS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57;top:3488;width:719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Modesto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83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8810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393;top:4066;width:2245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sisraels@fennemorelaw.com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SIDNEY</w:t>
      </w:r>
      <w:r>
        <w:rPr>
          <w:color w:val="FF8100"/>
          <w:spacing w:val="6"/>
        </w:rPr>
        <w:t> </w:t>
      </w:r>
      <w:r>
        <w:rPr>
          <w:color w:val="FF8100"/>
        </w:rPr>
        <w:t>A.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ISRAELS</w:t>
      </w:r>
    </w:p>
    <w:p>
      <w:pPr>
        <w:pStyle w:val="BodyText"/>
        <w:spacing w:line="295" w:lineRule="auto" w:before="147"/>
        <w:ind w:left="104" w:right="410"/>
      </w:pPr>
      <w:r>
        <w:rPr>
          <w:color w:val="6E6158"/>
        </w:rPr>
        <w:t>Sid has extensive experience in real estate, business, and regulatory matters. He represents a</w:t>
      </w:r>
      <w:r>
        <w:rPr>
          <w:color w:val="6E6158"/>
          <w:spacing w:val="40"/>
        </w:rPr>
        <w:t> </w:t>
      </w:r>
      <w:r>
        <w:rPr>
          <w:color w:val="6E6158"/>
        </w:rPr>
        <w:t>broad spectrum of clients, including title insurers and agents, healthcare providers, transportation logistics, food processors, lenders, agribusinesses, real estate investors, and</w:t>
      </w:r>
      <w:r>
        <w:rPr>
          <w:color w:val="6E6158"/>
          <w:spacing w:val="40"/>
        </w:rPr>
        <w:t> </w:t>
      </w:r>
      <w:r>
        <w:rPr>
          <w:color w:val="6E6158"/>
        </w:rPr>
        <w:t>venture capital providers.</w:t>
      </w:r>
    </w:p>
    <w:p>
      <w:pPr>
        <w:pStyle w:val="BodyText"/>
        <w:spacing w:line="292" w:lineRule="auto" w:before="205"/>
        <w:ind w:left="104" w:right="410"/>
      </w:pPr>
      <w:r>
        <w:rPr>
          <w:color w:val="6E6158"/>
        </w:rPr>
        <w:t>Not only working with startups, Sid works with well-established entities in negotiating and </w:t>
      </w:r>
      <w:r>
        <w:rPr>
          <w:color w:val="6E6158"/>
        </w:rPr>
        <w:t>closing</w:t>
      </w:r>
      <w:r>
        <w:rPr>
          <w:color w:val="6E6158"/>
          <w:spacing w:val="40"/>
        </w:rPr>
        <w:t> </w:t>
      </w:r>
      <w:r>
        <w:rPr>
          <w:color w:val="6E6158"/>
        </w:rPr>
        <w:t>complex business deals involving mergers, acquisitions, sales, share and asset purchases,</w:t>
      </w:r>
      <w:r>
        <w:rPr>
          <w:color w:val="6E6158"/>
          <w:spacing w:val="40"/>
        </w:rPr>
        <w:t> </w:t>
      </w:r>
      <w:r>
        <w:rPr>
          <w:color w:val="6E6158"/>
        </w:rPr>
        <w:t>shareholder separations, joint ventures, and private placements.</w:t>
      </w:r>
    </w:p>
    <w:p>
      <w:pPr>
        <w:pStyle w:val="BodyText"/>
        <w:spacing w:line="295" w:lineRule="auto" w:before="197"/>
        <w:ind w:left="104" w:right="410"/>
      </w:pPr>
      <w:r>
        <w:rPr>
          <w:color w:val="6E6158"/>
        </w:rPr>
        <w:t>He represents prospective business purchasers, and he has developed special skills in working</w:t>
      </w:r>
      <w:r>
        <w:rPr>
          <w:color w:val="6E6158"/>
          <w:spacing w:val="40"/>
        </w:rPr>
        <w:t> </w:t>
      </w:r>
      <w:r>
        <w:rPr>
          <w:color w:val="6E6158"/>
        </w:rPr>
        <w:t>with business founders, their families, and personal professional advisors. He has a long track</w:t>
      </w:r>
      <w:r>
        <w:rPr>
          <w:color w:val="6E6158"/>
          <w:spacing w:val="40"/>
        </w:rPr>
        <w:t> </w:t>
      </w:r>
      <w:r>
        <w:rPr>
          <w:color w:val="6E6158"/>
        </w:rPr>
        <w:t>record of successfully working with general counsel.</w:t>
      </w:r>
      <w:r>
        <w:rPr>
          <w:color w:val="6E6158"/>
          <w:spacing w:val="80"/>
        </w:rPr>
        <w:t> </w:t>
      </w:r>
      <w:r>
        <w:rPr>
          <w:color w:val="6E6158"/>
        </w:rPr>
        <w:t>Sid’s involvement is usually characterized by team participation, excellent communication between participants resulting in </w:t>
      </w:r>
      <w:r>
        <w:rPr>
          <w:color w:val="6E6158"/>
        </w:rPr>
        <w:t>expeditious</w:t>
      </w:r>
      <w:r>
        <w:rPr>
          <w:color w:val="6E6158"/>
          <w:spacing w:val="40"/>
        </w:rPr>
        <w:t> </w:t>
      </w:r>
      <w:r>
        <w:rPr>
          <w:color w:val="6E6158"/>
        </w:rPr>
        <w:t>and cost-efficient documentation.</w:t>
      </w:r>
    </w:p>
    <w:p>
      <w:pPr>
        <w:pStyle w:val="BodyText"/>
        <w:spacing w:line="292" w:lineRule="auto" w:before="203"/>
        <w:ind w:left="104" w:right="410"/>
      </w:pPr>
      <w:r>
        <w:rPr>
          <w:color w:val="6E6158"/>
        </w:rPr>
        <w:t>Sid has been instrumental in developing a strong team at Fennemore to effectively represent</w:t>
      </w:r>
      <w:r>
        <w:rPr>
          <w:color w:val="6E6158"/>
          <w:spacing w:val="40"/>
        </w:rPr>
        <w:t> </w:t>
      </w:r>
      <w:r>
        <w:rPr>
          <w:color w:val="6E6158"/>
        </w:rPr>
        <w:t>title insurers and underwritten title insurance companies in regulatory matters. These matters</w:t>
      </w:r>
      <w:r>
        <w:rPr>
          <w:color w:val="6E6158"/>
          <w:spacing w:val="40"/>
        </w:rPr>
        <w:t> </w:t>
      </w:r>
      <w:r>
        <w:rPr>
          <w:color w:val="6E6158"/>
        </w:rPr>
        <w:t>include audit compliance and the obtaining of organizational permits and approvals for </w:t>
      </w:r>
      <w:r>
        <w:rPr>
          <w:color w:val="6E6158"/>
        </w:rPr>
        <w:t>sales,</w:t>
      </w:r>
      <w:r>
        <w:rPr>
          <w:color w:val="6E6158"/>
          <w:spacing w:val="40"/>
        </w:rPr>
        <w:t> </w:t>
      </w:r>
      <w:r>
        <w:rPr>
          <w:color w:val="6E6158"/>
        </w:rPr>
        <w:t>mergers, and acquisitions of underwritten title companies.</w:t>
      </w:r>
    </w:p>
    <w:p>
      <w:pPr>
        <w:pStyle w:val="BodyText"/>
        <w:spacing w:line="292" w:lineRule="auto" w:before="206"/>
        <w:ind w:left="104" w:right="204"/>
      </w:pPr>
      <w:r>
        <w:rPr>
          <w:color w:val="6E6158"/>
        </w:rPr>
        <w:t>In addition, he has a particular passion for transportation issues, bringing experience and</w:t>
      </w:r>
      <w:r>
        <w:rPr>
          <w:color w:val="6E6158"/>
          <w:spacing w:val="80"/>
        </w:rPr>
        <w:t> </w:t>
      </w:r>
      <w:r>
        <w:rPr>
          <w:color w:val="6E6158"/>
        </w:rPr>
        <w:t>familiarity with matters involving logistics and infrastructure financing affecting shippers, </w:t>
      </w:r>
      <w:r>
        <w:rPr>
          <w:color w:val="6E6158"/>
        </w:rPr>
        <w:t>retailers,</w:t>
      </w:r>
      <w:r>
        <w:rPr>
          <w:color w:val="6E6158"/>
          <w:spacing w:val="40"/>
        </w:rPr>
        <w:t> </w:t>
      </w:r>
      <w:r>
        <w:rPr>
          <w:color w:val="6E6158"/>
        </w:rPr>
        <w:t>rail carriers, and land development projects.</w:t>
      </w:r>
    </w:p>
    <w:p>
      <w:pPr>
        <w:pStyle w:val="BodyText"/>
        <w:spacing w:line="292" w:lineRule="auto" w:before="205"/>
        <w:ind w:left="104" w:right="410"/>
      </w:pPr>
      <w:r>
        <w:rPr>
          <w:color w:val="6E6158"/>
        </w:rPr>
        <w:t>A native of Modesto, California, Sid helped originate and maintains strong connections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Fennemore’s Modesto office. With considerable experience and knowledge of the Great</w:t>
      </w:r>
      <w:r>
        <w:rPr>
          <w:color w:val="6E6158"/>
          <w:spacing w:val="40"/>
        </w:rPr>
        <w:t> </w:t>
      </w:r>
      <w:r>
        <w:rPr>
          <w:color w:val="6E6158"/>
        </w:rPr>
        <w:t>Central</w:t>
      </w:r>
      <w:r>
        <w:rPr>
          <w:color w:val="6E6158"/>
          <w:spacing w:val="32"/>
        </w:rPr>
        <w:t> </w:t>
      </w:r>
      <w:r>
        <w:rPr>
          <w:color w:val="6E6158"/>
        </w:rPr>
        <w:t>Valley’s</w:t>
      </w:r>
      <w:r>
        <w:rPr>
          <w:color w:val="6E6158"/>
          <w:spacing w:val="32"/>
        </w:rPr>
        <w:t> </w:t>
      </w:r>
      <w:r>
        <w:rPr>
          <w:color w:val="6E6158"/>
        </w:rPr>
        <w:t>resources,</w:t>
      </w:r>
      <w:r>
        <w:rPr>
          <w:color w:val="6E6158"/>
          <w:spacing w:val="32"/>
        </w:rPr>
        <w:t> </w:t>
      </w:r>
      <w:r>
        <w:rPr>
          <w:color w:val="6E6158"/>
        </w:rPr>
        <w:t>challenges,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opportunities,</w:t>
      </w:r>
      <w:r>
        <w:rPr>
          <w:color w:val="6E6158"/>
          <w:spacing w:val="32"/>
        </w:rPr>
        <w:t> </w:t>
      </w:r>
      <w:r>
        <w:rPr>
          <w:color w:val="6E6158"/>
        </w:rPr>
        <w:t>Sid</w:t>
      </w:r>
      <w:r>
        <w:rPr>
          <w:color w:val="6E6158"/>
          <w:spacing w:val="32"/>
        </w:rPr>
        <w:t> </w:t>
      </w:r>
      <w:r>
        <w:rPr>
          <w:color w:val="6E6158"/>
        </w:rPr>
        <w:t>has</w:t>
      </w:r>
      <w:r>
        <w:rPr>
          <w:color w:val="6E6158"/>
          <w:spacing w:val="32"/>
        </w:rPr>
        <w:t> </w:t>
      </w:r>
      <w:r>
        <w:rPr>
          <w:color w:val="6E6158"/>
        </w:rPr>
        <w:t>been</w:t>
      </w:r>
      <w:r>
        <w:rPr>
          <w:color w:val="6E6158"/>
          <w:spacing w:val="32"/>
        </w:rPr>
        <w:t> </w:t>
      </w:r>
      <w:r>
        <w:rPr>
          <w:color w:val="6E6158"/>
        </w:rPr>
        <w:t>involved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several</w:t>
      </w:r>
    </w:p>
    <w:p>
      <w:pPr>
        <w:pStyle w:val="BodyText"/>
        <w:spacing w:line="302" w:lineRule="auto" w:before="2"/>
        <w:ind w:left="104" w:right="39"/>
      </w:pPr>
      <w:r>
        <w:rPr>
          <w:color w:val="6E6158"/>
        </w:rPr>
        <w:t>projects, including agriculture research, food safety, farm equipment manufacturing, and </w:t>
      </w:r>
      <w:r>
        <w:rPr>
          <w:color w:val="6E6158"/>
        </w:rPr>
        <w:t>public</w:t>
      </w:r>
      <w:r>
        <w:rPr>
          <w:color w:val="6E6158"/>
          <w:spacing w:val="40"/>
        </w:rPr>
        <w:t> </w:t>
      </w:r>
      <w:r>
        <w:rPr>
          <w:color w:val="6E6158"/>
        </w:rPr>
        <w:t>and private development partnerships.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left="356" w:right="34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157709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8033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416074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1799pt;width:1.65pt;height:1.65pt;mso-position-horizontal-relative:page;mso-position-vertical-relative:paragraph;z-index:15729664" id="docshape12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Los Angeles – School of </w:t>
      </w:r>
      <w:r>
        <w:rPr>
          <w:color w:val="6E6158"/>
        </w:rPr>
        <w:t>Law</w:t>
      </w:r>
      <w:r>
        <w:rPr>
          <w:color w:val="6E6158"/>
        </w:rPr>
        <w:t> B.A., University of California, Berkeley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rPr>
          <w:b/>
        </w:rPr>
      </w:pPr>
    </w:p>
    <w:p>
      <w:pPr>
        <w:pStyle w:val="BodyText"/>
        <w:spacing w:line="420" w:lineRule="auto"/>
        <w:ind w:left="356" w:right="1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59400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7222pt;width:1.65pt;height:1.65pt;mso-position-horizontal-relative:page;mso-position-vertical-relative:paragraph;z-index:15730176" id="docshape13" coordorigin="1675,94" coordsize="33,33" path="m1696,126l1687,126,1683,125,1676,118,1675,114,1675,105,1676,101,1683,95,1687,94,1696,94,1699,95,1706,101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322933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27847pt;width:1.65pt;height:1.65pt;mso-position-horizontal-relative:page;mso-position-vertical-relative:paragraph;z-index:15730688" id="docshape14" coordorigin="1675,509" coordsize="33,33" path="m1696,541l1687,541,1683,540,1676,533,1675,529,1675,520,1676,517,1683,510,1687,509,1696,509,1699,510,1706,517,1707,520,1707,525,1707,529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Regulatory Matters involving Title Insurers and Underwritten Title </w:t>
      </w:r>
      <w:r>
        <w:rPr>
          <w:color w:val="6E6158"/>
        </w:rPr>
        <w:t>Companies Business &amp; Finance</w:t>
      </w:r>
    </w:p>
    <w:p>
      <w:pPr>
        <w:pStyle w:val="Heading1"/>
        <w:spacing w:before="159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158121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0486pt;width:1.65pt;height:1.65pt;mso-position-horizontal-relative:page;mso-position-vertical-relative:paragraph;z-index:15731200" id="docshape15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“Think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of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the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Law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Firm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as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a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Team,”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Fennemore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Blog,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July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22,</w:t>
        </w:r>
        <w:r>
          <w:rPr>
            <w:color w:val="F5821F"/>
            <w:spacing w:val="10"/>
          </w:rPr>
          <w:t> </w:t>
        </w:r>
        <w:r>
          <w:rPr>
            <w:color w:val="F5821F"/>
            <w:spacing w:val="-4"/>
          </w:rPr>
          <w:t>2022</w:t>
        </w:r>
      </w:hyperlink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152774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497pt;width:1.65pt;height:1.65pt;mso-position-horizontal-relative:page;mso-position-vertical-relative:paragraph;z-index:15731712" id="docshape1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7"/>
        </w:rPr>
        <w:t> </w: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Board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Trustees,</w:t>
      </w:r>
      <w:r>
        <w:rPr>
          <w:color w:val="6E6158"/>
          <w:spacing w:val="8"/>
        </w:rPr>
        <w:t> </w:t>
      </w:r>
      <w:r>
        <w:rPr>
          <w:color w:val="6E6158"/>
        </w:rPr>
        <w:t>UC</w:t>
      </w:r>
      <w:r>
        <w:rPr>
          <w:color w:val="6E6158"/>
          <w:spacing w:val="7"/>
        </w:rPr>
        <w:t> </w:t>
      </w:r>
      <w:r>
        <w:rPr>
          <w:color w:val="6E6158"/>
        </w:rPr>
        <w:t>Merced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Foundation</w:t>
      </w:r>
    </w:p>
    <w:p>
      <w:pPr>
        <w:pStyle w:val="BodyText"/>
        <w:spacing w:line="420" w:lineRule="auto" w:before="174"/>
        <w:ind w:left="356" w:right="2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175036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2417pt;width:1.65pt;height:1.65pt;mso-position-horizontal-relative:page;mso-position-vertical-relative:paragraph;z-index:15732224" id="docshape17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433402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6163pt;width:1.65pt;height:1.65pt;mso-position-horizontal-relative:page;mso-position-vertical-relative:paragraph;z-index:15732736" id="docshape18" coordorigin="1675,683" coordsize="33,33" path="m1696,715l1687,715,1683,713,1676,707,1675,703,1675,694,1676,690,1683,684,1687,683,1696,683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Vice Chair, Real Property Section, The State Bar of California Affiliate Member of California Land Title Association (CLTA)</w:t>
      </w:r>
    </w:p>
    <w:p>
      <w:pPr>
        <w:pStyle w:val="Heading1"/>
        <w:spacing w:before="159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805pt;width:1.65pt;height:1.65pt;mso-position-horizontal-relative:page;mso-position-vertical-relative:paragraph;z-index:15733248" id="docshape19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170114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485pt;width:1.65pt;height:1.65pt;mso-position-horizontal-relative:page;mso-position-vertical-relative:paragraph;z-index:15733760" id="docshape20" coordorigin="1675,268" coordsize="33,33" path="m1696,300l1687,300,1683,299,1676,293,1675,289,1675,280,1676,276,1683,269,1687,268,1696,268,1699,269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modesto/" TargetMode="External"/><Relationship Id="rId10" Type="http://schemas.openxmlformats.org/officeDocument/2006/relationships/hyperlink" Target="mailto:sisraels@fennemorelaw.com" TargetMode="External"/><Relationship Id="rId11" Type="http://schemas.openxmlformats.org/officeDocument/2006/relationships/hyperlink" Target="https://www.fennemorelaw.com/think-of-the-law-firm-as-a-tea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2025-03-12T21:44:31Z</dcterms:created>
  <dcterms:modified xsi:type="dcterms:W3CDTF">2025-03-12T21:44:31Z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2025-03-12T00:00:00Z</vt:filetime>
  </property>
  <property fmtid="{D5CDD505-2E9C-101B-9397-08002B2CF9AE}" pid="5" name="Producer">
    <vt:lpwstr>Skia/PDF m117</vt:lpwstr>
  </property>
</Properties>
</file>