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2" w:right="54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542" w:right="54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42" w:right="5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2" w:right="5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542" w:right="542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510.622.7677</w:t>
                              </w:r>
                            </w:p>
                            <w:p>
                              <w:pPr>
                                <w:spacing w:before="119"/>
                                <w:ind w:left="542" w:right="54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2" w:right="54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542" w:right="54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42" w:right="54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42" w:right="54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spacing w:before="54"/>
                          <w:ind w:left="542" w:right="542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510.622.7677</w:t>
                        </w:r>
                      </w:p>
                      <w:p>
                        <w:pPr>
                          <w:spacing w:before="119"/>
                          <w:ind w:left="542" w:right="54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TIMOTHY</w:t>
      </w:r>
      <w:r>
        <w:rPr>
          <w:color w:val="FF8100"/>
          <w:spacing w:val="6"/>
        </w:rPr>
        <w:t> </w:t>
      </w:r>
      <w:r>
        <w:rPr>
          <w:color w:val="FF8100"/>
        </w:rPr>
        <w:t>S.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297" w:lineRule="auto"/>
        <w:ind w:left="104" w:right="514"/>
      </w:pPr>
      <w:r>
        <w:rPr>
          <w:color w:val="6E6158"/>
        </w:rPr>
        <w:t>Tim has assisted clients with their real estate transactions for over 40 years, and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in purchase and sale transactions, leases, financing, easements, title matters,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property tax issues.</w:t>
      </w:r>
    </w:p>
    <w:p>
      <w:pPr>
        <w:pStyle w:val="BodyText"/>
        <w:spacing w:line="297" w:lineRule="auto" w:before="191"/>
        <w:ind w:left="104" w:right="514"/>
      </w:pPr>
      <w:r>
        <w:rPr>
          <w:color w:val="6E6158"/>
        </w:rPr>
        <w:t>Tim has been a contributing author for several California Continuing Education of the Bar</w:t>
      </w:r>
      <w:r>
        <w:rPr>
          <w:color w:val="6E6158"/>
          <w:spacing w:val="40"/>
        </w:rPr>
        <w:t> </w:t>
      </w:r>
      <w:r>
        <w:rPr>
          <w:color w:val="6E6158"/>
        </w:rPr>
        <w:t>publications on topics including secured financing, ground leasing, office leasing, and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leasing,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been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active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Alameda</w:t>
      </w:r>
      <w:r>
        <w:rPr>
          <w:color w:val="6E6158"/>
          <w:spacing w:val="28"/>
        </w:rPr>
        <w:t> </w:t>
      </w:r>
      <w:r>
        <w:rPr>
          <w:color w:val="6E6158"/>
        </w:rPr>
        <w:t>County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</w:p>
    <w:p>
      <w:pPr>
        <w:pStyle w:val="BodyText"/>
        <w:spacing w:line="229" w:lineRule="exact" w:before="0"/>
        <w:ind w:left="104"/>
      </w:pPr>
      <w:r>
        <w:rPr>
          <w:color w:val="6E6158"/>
        </w:rPr>
        <w:t>associations’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sections.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0"/>
        <w:ind w:left="104" w:right="514"/>
      </w:pPr>
      <w:r>
        <w:rPr>
          <w:color w:val="6E6158"/>
        </w:rPr>
        <w:t>Tim currently serves as associate general counsel to the firm, having previously served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to his prior firm.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4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795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416260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436pt;width:1.65pt;height:1.65pt;mso-position-horizontal-relative:page;mso-position-vertical-relative:paragraph;z-index:15729664" id="docshape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Berkeley, School of </w:t>
      </w:r>
      <w:r>
        <w:rPr>
          <w:color w:val="6E6158"/>
        </w:rPr>
        <w:t>Law</w:t>
      </w:r>
      <w:r>
        <w:rPr>
          <w:color w:val="6E6158"/>
        </w:rPr>
        <w:t> B.A., Stanford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158103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086pt;width:1.65pt;height:1.65pt;mso-position-horizontal-relative:page;mso-position-vertical-relative:paragraph;z-index:15730176" id="docshape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86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416289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725pt;width:1.65pt;height:1.65pt;mso-position-horizontal-relative:page;mso-position-vertical-relative:paragraph;z-index:15731200" id="docshape1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674655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2467pt;width:1.65pt;height:1.65pt;mso-position-horizontal-relative:page;mso-position-vertical-relative:paragraph;z-index:15731712" id="docshape12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Ground Lease Practice, California Continuing Education of the Bar, </w:t>
      </w:r>
      <w:r>
        <w:rPr>
          <w:color w:val="6E6158"/>
        </w:rPr>
        <w:t>2024 Contributing Author, Retail Leasing, , California Continuing Education of the Bar, 2007, 2012 Contributing Author, Office Leasing, California Continuing Education of the Bar, 1996, 2012</w:t>
      </w:r>
    </w:p>
    <w:p>
      <w:pPr>
        <w:pStyle w:val="BodyText"/>
        <w:spacing w:line="292" w:lineRule="auto" w:before="6"/>
        <w:ind w:right="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156076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9503pt;width:1.65pt;height:1.65pt;mso-position-horizontal-relative:page;mso-position-vertical-relative:paragraph;z-index:15732224" id="docshape13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California Mortgage and Deed of Trust Practice, California </w:t>
      </w:r>
      <w:r>
        <w:rPr>
          <w:color w:val="6E6158"/>
        </w:rPr>
        <w:t>Continuing Education of the Bar, 2003</w:t>
      </w:r>
    </w:p>
    <w:p>
      <w:pPr>
        <w:pStyle w:val="BodyText"/>
        <w:spacing w:line="292" w:lineRule="auto" w:before="123"/>
        <w:ind w:right="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230549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484pt;width:1.65pt;height:1.65pt;mso-position-horizontal-relative:page;mso-position-vertical-relative:paragraph;z-index:15732736" id="docshape14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“Proposition 8 Spells Property Tax Relief,” Oakland Business Review, May 2008 Author, “Prop. 8 May Help Down and Out Property Owners,” The Registry, March 2008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142882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571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“Reassessment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Change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Ownership,”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Wendel</w:t>
      </w:r>
      <w:r>
        <w:rPr>
          <w:color w:val="6E6158"/>
          <w:spacing w:val="11"/>
        </w:rPr>
        <w:t> </w:t>
      </w:r>
      <w:r>
        <w:rPr>
          <w:color w:val="6E6158"/>
        </w:rPr>
        <w:t>Report,</w:t>
      </w:r>
      <w:r>
        <w:rPr>
          <w:color w:val="6E6158"/>
          <w:spacing w:val="11"/>
        </w:rPr>
        <w:t> </w:t>
      </w:r>
      <w:r>
        <w:rPr>
          <w:color w:val="6E6158"/>
        </w:rPr>
        <w:t>Fall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right="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3760" id="docshape16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“California’s New Legislation Regarding Use Restrictions in Commercial Leases: Can Commercial Landlords Just Say No?” California Real Property Journal, Vol. 10, No. 3, Summer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1992</w:t>
      </w:r>
    </w:p>
    <w:p>
      <w:pPr>
        <w:pStyle w:val="Heading1"/>
        <w:spacing w:before="15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Property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10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175275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205pt;width:1.65pt;height:1.65pt;mso-position-horizontal-relative:page;mso-position-vertical-relative:paragraph;z-index:15734784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433640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955pt;width:1.65pt;height:1.65pt;mso-position-horizontal-relative:page;mso-position-vertical-relative:paragraph;z-index:15735296" id="docshape19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Directors, Real Estate Section, Alameda County Bar Association Past Chair, Fee Arbitration Executive Committee, Alameda County Bar Association</w:t>
      </w:r>
    </w:p>
    <w:p>
      <w:pPr>
        <w:pStyle w:val="Heading1"/>
        <w:spacing w:before="168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152623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594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william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2025-03-13T16:52:30Z</dcterms:created>
  <dcterms:modified xsi:type="dcterms:W3CDTF">2025-03-13T16:52:30Z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m117</vt:lpwstr>
  </property>
</Properties>
</file>