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78" w:right="37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ZACHARY ROSENBERG</w:t>
                              </w:r>
                            </w:p>
                            <w:p>
                              <w:pPr>
                                <w:spacing w:before="48"/>
                                <w:ind w:left="378" w:right="37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378" w:right="37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8" w:right="37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378" w:right="37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zrosenberg@fennemorelaw.com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78" w:right="37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ZACHARY ROSENBERG</w:t>
                        </w:r>
                      </w:p>
                      <w:p>
                        <w:pPr>
                          <w:spacing w:before="48"/>
                          <w:ind w:left="378" w:right="37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378" w:right="37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78" w:right="37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378" w:right="37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zrosenberg@fennemorelaw.com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ZACHARY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ROSENBERG</w:t>
      </w:r>
    </w:p>
    <w:p>
      <w:pPr>
        <w:pStyle w:val="BodyText"/>
        <w:spacing w:line="302" w:lineRule="auto" w:before="147"/>
        <w:ind w:left="104" w:right="543"/>
      </w:pPr>
      <w:r>
        <w:rPr>
          <w:color w:val="6E6158"/>
        </w:rPr>
        <w:t>Litigation attorney Zach Rosenberg represents clients in business and construction </w:t>
      </w:r>
      <w:r>
        <w:rPr>
          <w:color w:val="6E6158"/>
        </w:rPr>
        <w:t>controversies</w:t>
      </w:r>
      <w:r>
        <w:rPr>
          <w:color w:val="6E6158"/>
          <w:spacing w:val="40"/>
        </w:rPr>
        <w:t> </w:t>
      </w:r>
      <w:r>
        <w:rPr>
          <w:color w:val="6E6158"/>
        </w:rPr>
        <w:t>ranging</w:t>
      </w:r>
      <w:r>
        <w:rPr>
          <w:color w:val="6E6158"/>
          <w:spacing w:val="36"/>
        </w:rPr>
        <w:t> </w:t>
      </w:r>
      <w:r>
        <w:rPr>
          <w:color w:val="6E6158"/>
        </w:rPr>
        <w:t>from</w:t>
      </w:r>
      <w:r>
        <w:rPr>
          <w:color w:val="6E6158"/>
          <w:spacing w:val="36"/>
        </w:rPr>
        <w:t> </w:t>
      </w:r>
      <w:r>
        <w:rPr>
          <w:color w:val="6E6158"/>
        </w:rPr>
        <w:t>complex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multi-party</w:t>
      </w:r>
      <w:r>
        <w:rPr>
          <w:color w:val="6E6158"/>
          <w:spacing w:val="36"/>
        </w:rPr>
        <w:t> </w:t>
      </w:r>
      <w:r>
        <w:rPr>
          <w:color w:val="6E6158"/>
        </w:rPr>
        <w:t>lawsuits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simple</w:t>
      </w:r>
      <w:r>
        <w:rPr>
          <w:color w:val="6E6158"/>
          <w:spacing w:val="36"/>
        </w:rPr>
        <w:t> </w:t>
      </w:r>
      <w:r>
        <w:rPr>
          <w:color w:val="6E6158"/>
        </w:rPr>
        <w:t>contractor</w:t>
      </w:r>
      <w:r>
        <w:rPr>
          <w:color w:val="6E6158"/>
          <w:spacing w:val="36"/>
        </w:rPr>
        <w:t> </w:t>
      </w:r>
      <w:r>
        <w:rPr>
          <w:color w:val="6E6158"/>
        </w:rPr>
        <w:t>invoice</w:t>
      </w:r>
      <w:r>
        <w:rPr>
          <w:color w:val="6E6158"/>
          <w:spacing w:val="36"/>
        </w:rPr>
        <w:t> </w:t>
      </w:r>
      <w:r>
        <w:rPr>
          <w:color w:val="6E6158"/>
        </w:rPr>
        <w:t>disputes.</w:t>
      </w:r>
    </w:p>
    <w:p>
      <w:pPr>
        <w:pStyle w:val="BodyText"/>
        <w:spacing w:line="292" w:lineRule="auto" w:before="186"/>
        <w:ind w:left="104" w:right="898"/>
        <w:jc w:val="both"/>
      </w:pPr>
      <w:r>
        <w:rPr>
          <w:color w:val="6E6158"/>
        </w:rPr>
        <w:t>Before joining Fennemore, Zach served as a judicial clerk at the Arizona Court of Appeals for Judge Peter Swann. In law school at Arizona State University, Zach was the Executive </w:t>
      </w:r>
      <w:r>
        <w:rPr>
          <w:color w:val="6E6158"/>
        </w:rPr>
        <w:t>Articles Editor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Journal,</w:t>
      </w:r>
      <w:r>
        <w:rPr>
          <w:color w:val="6E6158"/>
          <w:spacing w:val="27"/>
        </w:rPr>
        <w:t> </w:t>
      </w:r>
      <w:r>
        <w:rPr>
          <w:color w:val="6E6158"/>
        </w:rPr>
        <w:t>served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president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Jewish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Students</w:t>
      </w:r>
    </w:p>
    <w:p>
      <w:pPr>
        <w:pStyle w:val="BodyText"/>
        <w:spacing w:before="10"/>
        <w:ind w:left="104"/>
        <w:jc w:val="both"/>
      </w:pP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held</w:t>
      </w:r>
      <w:r>
        <w:rPr>
          <w:color w:val="6E6158"/>
          <w:spacing w:val="12"/>
        </w:rPr>
        <w:t> </w:t>
      </w: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roles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several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student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organizations.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543"/>
      </w:pPr>
      <w:r>
        <w:rPr>
          <w:color w:val="6E6158"/>
        </w:rPr>
        <w:t>Zach is a published author in e-discovery and leverages his fondness for computers </w:t>
      </w:r>
      <w:r>
        <w:rPr>
          <w:color w:val="6E6158"/>
        </w:rPr>
        <w:t>and technology to provide efficient representation to his clients.</w:t>
      </w:r>
    </w:p>
    <w:p>
      <w:pPr>
        <w:pStyle w:val="BodyText"/>
        <w:spacing w:line="302" w:lineRule="auto" w:before="197"/>
        <w:ind w:left="104" w:right="543"/>
      </w:pPr>
      <w:r>
        <w:rPr>
          <w:color w:val="6E6158"/>
        </w:rPr>
        <w:t>Outside the office, Zach spends his time with his wife and children. He enjoys hiking and traveling</w:t>
      </w:r>
      <w:r>
        <w:rPr>
          <w:color w:val="6E6158"/>
          <w:spacing w:val="40"/>
        </w:rPr>
        <w:t> </w:t>
      </w:r>
      <w:r>
        <w:rPr>
          <w:color w:val="6E6158"/>
        </w:rPr>
        <w:t>and is a theater and science fiction fan.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2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157625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48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415991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257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O’Connor College of Law, Arizona State University, </w:t>
      </w:r>
      <w:r>
        <w:rPr>
          <w:color w:val="6E6158"/>
        </w:rPr>
        <w:t>2017</w:t>
      </w:r>
      <w:r>
        <w:rPr>
          <w:color w:val="6E6158"/>
        </w:rPr>
        <w:t> B.A., Occidental College, 2011; Truman Scholarship Nominee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152754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884pt;width:1.65pt;height:1.65pt;mso-position-horizontal-relative:page;mso-position-vertical-relative:paragraph;z-index:15730176" id="docshape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416286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5pt;width:1.65pt;height:1.65pt;mso-position-horizontal-relative:page;mso-position-vertical-relative:paragraph;z-index:15730688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158129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15pt;width:1.65pt;height:1.65pt;mso-position-horizontal-relative:page;mso-position-vertical-relative:paragraph;z-index:15731200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America®,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“Ones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 Watch” – Commercial Litigation, 2024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245629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0879pt;width:1.65pt;height:1.65pt;mso-position-horizontal-relative:page;mso-position-vertical-relative:paragraph;z-index:15731712" id="docshape12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An ounce of prevention goes a long way to avoid wire hacking schemes: 4 </w:t>
        </w:r>
        <w:r>
          <w:rPr>
            <w:color w:val="F5821F"/>
          </w:rPr>
          <w:t>tips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for businesses</w:t>
        </w:r>
      </w:hyperlink>
      <w:r>
        <w:rPr>
          <w:color w:val="6E6158"/>
        </w:rPr>
        <w:t>,” Denver Business Journal, March 1, 2025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2224" id="docshape1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Returning to Plato’s Cave: Metadata’s Shadows in the Courtroom</w:t>
        </w:r>
      </w:hyperlink>
      <w:r>
        <w:rPr>
          <w:color w:val="6E6158"/>
        </w:rPr>
        <w:t>,” 48 Ariz. St. L.J. 439, 2016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3"/>
        <w:ind w:right="29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174874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45pt;width:1.65pt;height:1.65pt;mso-position-horizontal-relative:page;mso-position-vertical-relative:paragraph;z-index:15733248" id="docshape1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433240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3392pt;width:1.65pt;height:1.65pt;mso-position-horizontal-relative:page;mso-position-vertical-relative:paragraph;z-index:15733760" id="docshape16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Clerk, Hon. Peter B. Swann, Arizona Court of Appeals, 2016-</w:t>
      </w:r>
      <w:r>
        <w:rPr>
          <w:color w:val="6E6158"/>
        </w:rPr>
        <w:t>2017 Extern, Legislative Council, Arizona Legislature, 2016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64010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0175pt;width:1.65pt;height:1.65pt;mso-position-horizontal-relative:page;mso-position-vertical-relative:paragraph;z-index:15734272" id="docshape17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Extern,</w:t>
      </w:r>
      <w:r>
        <w:rPr>
          <w:color w:val="6E6158"/>
          <w:spacing w:val="9"/>
        </w:rPr>
        <w:t> </w:t>
      </w:r>
      <w:r>
        <w:rPr>
          <w:color w:val="6E6158"/>
        </w:rPr>
        <w:t>Hon.</w:t>
      </w:r>
      <w:r>
        <w:rPr>
          <w:color w:val="6E6158"/>
          <w:spacing w:val="10"/>
        </w:rPr>
        <w:t> </w:t>
      </w:r>
      <w:r>
        <w:rPr>
          <w:color w:val="6E6158"/>
        </w:rPr>
        <w:t>Donn</w:t>
      </w:r>
      <w:r>
        <w:rPr>
          <w:color w:val="6E6158"/>
          <w:spacing w:val="10"/>
        </w:rPr>
        <w:t> </w:t>
      </w:r>
      <w:r>
        <w:rPr>
          <w:color w:val="6E6158"/>
        </w:rPr>
        <w:t>Kessler,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83"/>
        <w:ind w:right="5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268470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437pt;width:1.65pt;height:1.65pt;mso-position-horizontal-relative:page;mso-position-vertical-relative:paragraph;z-index:15734784" id="docshape18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Work-Life, Law and Policy Clinic (Student Attorney), Sandra Day O’Connor College of </w:t>
      </w:r>
      <w:r>
        <w:rPr>
          <w:color w:val="6E6158"/>
        </w:rPr>
        <w:t>Law, Arizona State University, 2015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142703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535pt;width:1.65pt;height:1.65pt;mso-position-horizontal-relative:page;mso-position-vertical-relative:paragraph;z-index:15735296" id="docshape19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Extern,</w:t>
      </w:r>
      <w:r>
        <w:rPr>
          <w:color w:val="6E6158"/>
          <w:spacing w:val="14"/>
        </w:rPr>
        <w:t> </w:t>
      </w:r>
      <w:r>
        <w:rPr>
          <w:color w:val="6E6158"/>
        </w:rPr>
        <w:t>Hon.</w:t>
      </w:r>
      <w:r>
        <w:rPr>
          <w:color w:val="6E6158"/>
          <w:spacing w:val="14"/>
        </w:rPr>
        <w:t> </w:t>
      </w:r>
      <w:r>
        <w:rPr>
          <w:color w:val="6E6158"/>
        </w:rPr>
        <w:t>Sally</w:t>
      </w:r>
      <w:r>
        <w:rPr>
          <w:color w:val="6E6158"/>
          <w:spacing w:val="14"/>
        </w:rPr>
        <w:t> </w:t>
      </w:r>
      <w:r>
        <w:rPr>
          <w:color w:val="6E6158"/>
        </w:rPr>
        <w:t>Duncan,</w:t>
      </w:r>
      <w:r>
        <w:rPr>
          <w:color w:val="6E6158"/>
          <w:spacing w:val="15"/>
        </w:rPr>
        <w:t> </w:t>
      </w:r>
      <w:r>
        <w:rPr>
          <w:color w:val="6E6158"/>
        </w:rPr>
        <w:t>Maricopa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Superior</w:t>
      </w:r>
      <w:r>
        <w:rPr>
          <w:color w:val="6E6158"/>
          <w:spacing w:val="15"/>
        </w:rPr>
        <w:t> </w:t>
      </w:r>
      <w:r>
        <w:rPr>
          <w:color w:val="6E6158"/>
        </w:rPr>
        <w:t>Court,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427" w:lineRule="auto" w:before="174"/>
        <w:ind w:right="5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578pt;width:1.65pt;height:1.65pt;mso-position-horizontal-relative:page;mso-position-vertical-relative:paragraph;z-index:15735808" id="docshape2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433404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328pt;width:1.65pt;height:1.65pt;mso-position-horizontal-relative:page;mso-position-vertical-relative:paragraph;z-index:15736320" id="docshape21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Legislative Assistant, Religious Action Center for Reform Judaism, Washington, D.C., 2012-</w:t>
      </w:r>
      <w:r>
        <w:rPr>
          <w:color w:val="6E6158"/>
        </w:rPr>
        <w:t>2013</w:t>
      </w:r>
      <w:r>
        <w:rPr>
          <w:color w:val="6E6158"/>
          <w:spacing w:val="40"/>
        </w:rPr>
        <w:t> </w:t>
      </w:r>
      <w:r>
        <w:rPr>
          <w:color w:val="6E6158"/>
        </w:rPr>
        <w:t>Staff Assistant, U.S. Senator Tom Udall (New Mexico), 2012</w:t>
      </w:r>
    </w:p>
    <w:p>
      <w:pPr>
        <w:pStyle w:val="BodyText"/>
        <w:spacing w:line="420" w:lineRule="auto"/>
        <w:ind w:right="1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59831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1121pt;width:1.65pt;height:1.65pt;mso-position-horizontal-relative:page;mso-position-vertical-relative:paragraph;z-index:15736832" id="docshape22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318196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4871pt;width:1.65pt;height:1.65pt;mso-position-horizontal-relative:page;mso-position-vertical-relative:paragraph;z-index:15737344" id="docshape23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 U.N. Security Council Counter-Terrorism Committee Executive Directorate, </w:t>
      </w:r>
      <w:r>
        <w:rPr>
          <w:color w:val="6E6158"/>
        </w:rPr>
        <w:t>2010 Staff Assistant, Office of Lt. Governor Diane Denish (New Mexico), 2007-2010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58821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1651pt;width:1.65pt;height:1.65pt;mso-position-horizontal-relative:page;mso-position-vertical-relative:paragraph;z-index:15737856" id="docshape24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Assistant</w:t>
      </w:r>
      <w:r>
        <w:rPr>
          <w:color w:val="6E6158"/>
          <w:spacing w:val="9"/>
        </w:rPr>
        <w:t> </w:t>
      </w:r>
      <w:r>
        <w:rPr>
          <w:color w:val="6E6158"/>
        </w:rPr>
        <w:t>Regional</w:t>
      </w:r>
      <w:r>
        <w:rPr>
          <w:color w:val="6E6158"/>
          <w:spacing w:val="9"/>
        </w:rPr>
        <w:t> </w:t>
      </w:r>
      <w:r>
        <w:rPr>
          <w:color w:val="6E6158"/>
        </w:rPr>
        <w:t>Field</w:t>
      </w:r>
      <w:r>
        <w:rPr>
          <w:color w:val="6E6158"/>
          <w:spacing w:val="9"/>
        </w:rPr>
        <w:t> </w:t>
      </w:r>
      <w:r>
        <w:rPr>
          <w:color w:val="6E6158"/>
        </w:rPr>
        <w:t>Director,</w:t>
      </w:r>
      <w:r>
        <w:rPr>
          <w:color w:val="6E6158"/>
          <w:spacing w:val="9"/>
        </w:rPr>
        <w:t> </w:t>
      </w:r>
      <w:r>
        <w:rPr>
          <w:color w:val="6E6158"/>
        </w:rPr>
        <w:t>Tom</w:t>
      </w:r>
      <w:r>
        <w:rPr>
          <w:color w:val="6E6158"/>
          <w:spacing w:val="10"/>
        </w:rPr>
        <w:t> </w:t>
      </w:r>
      <w:r>
        <w:rPr>
          <w:color w:val="6E6158"/>
        </w:rPr>
        <w:t>Udall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Senate,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157702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54pt;width:1.65pt;height:1.65pt;mso-position-horizontal-relative:page;mso-position-vertical-relative:paragraph;z-index:15738368" id="docshape2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175432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582pt;width:1.65pt;height:1.65pt;mso-position-horizontal-relative:page;mso-position-vertical-relative:paragraph;z-index:15738880" id="docshape2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zrosenberg@fennemorelaw.com" TargetMode="External"/><Relationship Id="rId11" Type="http://schemas.openxmlformats.org/officeDocument/2006/relationships/hyperlink" Target="https://www.bizjournals.com/phoenix/news/2025/03/01/wire-hacking-schemes-prevention-businesses.html" TargetMode="External"/><Relationship Id="rId12" Type="http://schemas.openxmlformats.org/officeDocument/2006/relationships/hyperlink" Target="http://arizonastatelawjournal.org/wp-content/uploads/2016/07/Rosenberg_Final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2025-03-18T23:47:43Z</dcterms:created>
  <dcterms:modified xsi:type="dcterms:W3CDTF">2025-03-18T23:47:43Z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2025-03-18T00:00:00Z</vt:filetime>
  </property>
  <property fmtid="{D5CDD505-2E9C-101B-9397-08002B2CF9AE}" pid="5" name="Producer">
    <vt:lpwstr>Skia/PDF m117</vt:lpwstr>
  </property>
</Properties>
</file>