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88160" y="763308"/>
                            <a:ext cx="133604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AMARA L.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MORRISON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133494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amorrison@fennemorelaw.com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09258" y="3756030"/>
                            <a:ext cx="306451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get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chance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out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dance,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hope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dance.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Maya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Angelou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548446"/>
                            <a:ext cx="160337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AMARA</w:t>
                              </w:r>
                              <w:r>
                                <w:rPr>
                                  <w:b/>
                                  <w:color w:val="FF8100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L.</w:t>
                              </w:r>
                              <w:r>
                                <w:rPr>
                                  <w:b/>
                                  <w:color w:val="FF8100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MORRISON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64;top:1762;width:2104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AMARA L.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MORRISON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3919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amorrison@fennemorelaw.com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717;top:6475;width:4826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get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chance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out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dance,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hope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dance.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Maya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Angelou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525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AMARA</w:t>
                        </w:r>
                        <w:r>
                          <w:rPr>
                            <w:b/>
                            <w:color w:val="FF8100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L.</w:t>
                        </w:r>
                        <w:r>
                          <w:rPr>
                            <w:b/>
                            <w:color w:val="FF8100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MORRISON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5" w:lineRule="auto"/>
        <w:ind w:left="104" w:right="377"/>
      </w:pPr>
      <w:r>
        <w:rPr>
          <w:color w:val="6E6158"/>
        </w:rPr>
        <w:t>Amara understands municipal law, land use, and real estate from just about every angle. With</w:t>
      </w:r>
      <w:r>
        <w:rPr>
          <w:color w:val="6E6158"/>
          <w:spacing w:val="40"/>
        </w:rPr>
        <w:t> </w:t>
      </w:r>
      <w:r>
        <w:rPr>
          <w:color w:val="6E6158"/>
        </w:rPr>
        <w:t>more than 25 years of experience as an assistant city attorney, she’s worked closely with mixed</w:t>
      </w:r>
      <w:r>
        <w:rPr>
          <w:color w:val="6E6158"/>
          <w:spacing w:val="40"/>
        </w:rPr>
        <w:t> </w:t>
      </w:r>
      <w:r>
        <w:rPr>
          <w:color w:val="6E6158"/>
        </w:rPr>
        <w:t>use, residential, commercial, industrial and hotel developers, public agencies, and individuals</w:t>
      </w:r>
      <w:r>
        <w:rPr>
          <w:color w:val="6E6158"/>
          <w:spacing w:val="40"/>
        </w:rPr>
        <w:t> </w:t>
      </w:r>
      <w:r>
        <w:rPr>
          <w:color w:val="6E6158"/>
        </w:rPr>
        <w:t>and community groups on everything from land use approvals and subdivisions to capital</w:t>
      </w:r>
      <w:r>
        <w:rPr>
          <w:color w:val="6E6158"/>
          <w:spacing w:val="40"/>
        </w:rPr>
        <w:t> </w:t>
      </w:r>
      <w:r>
        <w:rPr>
          <w:color w:val="6E6158"/>
        </w:rPr>
        <w:t>improvement projects. She has extensive experience in all aspects of land use law, including</w:t>
      </w:r>
      <w:r>
        <w:rPr>
          <w:color w:val="6E6158"/>
          <w:spacing w:val="40"/>
        </w:rPr>
        <w:t> </w:t>
      </w:r>
      <w:r>
        <w:rPr>
          <w:color w:val="6E6158"/>
        </w:rPr>
        <w:t>compliance with the California Environmental Quality Act (CEQA), the Permit Streamlining Act,</w:t>
      </w:r>
      <w:r>
        <w:rPr>
          <w:color w:val="6E6158"/>
          <w:spacing w:val="40"/>
        </w:rPr>
        <w:t> </w:t>
      </w:r>
      <w:r>
        <w:rPr>
          <w:color w:val="6E6158"/>
        </w:rPr>
        <w:t>planning and zoning law, the Subdivision Map Act and affordable housing laws, including</w:t>
      </w:r>
      <w:r>
        <w:rPr>
          <w:color w:val="6E6158"/>
          <w:spacing w:val="80"/>
        </w:rPr>
        <w:t> </w:t>
      </w:r>
      <w:r>
        <w:rPr>
          <w:color w:val="6E6158"/>
        </w:rPr>
        <w:t>density bonus and SB 35.</w:t>
      </w:r>
    </w:p>
    <w:p>
      <w:pPr>
        <w:pStyle w:val="BodyText"/>
        <w:spacing w:line="302" w:lineRule="auto" w:before="198"/>
        <w:ind w:left="104" w:right="254"/>
      </w:pPr>
      <w:r>
        <w:rPr>
          <w:color w:val="6E6158"/>
        </w:rPr>
        <w:t>Amara is currently general counsel to various transportation agencies and Geologic Hazard</w:t>
      </w:r>
      <w:r>
        <w:rPr>
          <w:color w:val="6E6158"/>
          <w:spacing w:val="40"/>
        </w:rPr>
        <w:t> </w:t>
      </w:r>
      <w:r>
        <w:rPr>
          <w:color w:val="6E6158"/>
        </w:rPr>
        <w:t>Abatement</w:t>
      </w:r>
      <w:r>
        <w:rPr>
          <w:color w:val="6E6158"/>
          <w:spacing w:val="17"/>
        </w:rPr>
        <w:t> </w:t>
      </w:r>
      <w:r>
        <w:rPr>
          <w:color w:val="6E6158"/>
        </w:rPr>
        <w:t>Districts</w:t>
      </w:r>
      <w:r>
        <w:rPr>
          <w:color w:val="6E6158"/>
          <w:spacing w:val="17"/>
        </w:rPr>
        <w:t> </w:t>
      </w:r>
      <w:r>
        <w:rPr>
          <w:color w:val="6E6158"/>
        </w:rPr>
        <w:t>(GHADs).</w:t>
      </w:r>
      <w:r>
        <w:rPr>
          <w:color w:val="6E6158"/>
          <w:spacing w:val="17"/>
        </w:rPr>
        <w:t> </w:t>
      </w:r>
      <w:r>
        <w:rPr>
          <w:color w:val="6E6158"/>
        </w:rPr>
        <w:t>Prior</w:t>
      </w:r>
      <w:r>
        <w:rPr>
          <w:color w:val="6E6158"/>
          <w:spacing w:val="17"/>
        </w:rPr>
        <w:t> </w:t>
      </w:r>
      <w:r>
        <w:rPr>
          <w:color w:val="6E6158"/>
        </w:rPr>
        <w:t>to</w:t>
      </w:r>
      <w:r>
        <w:rPr>
          <w:color w:val="6E6158"/>
          <w:spacing w:val="17"/>
        </w:rPr>
        <w:t> </w:t>
      </w:r>
      <w:r>
        <w:rPr>
          <w:color w:val="6E6158"/>
        </w:rPr>
        <w:t>private</w:t>
      </w:r>
      <w:r>
        <w:rPr>
          <w:color w:val="6E6158"/>
          <w:spacing w:val="17"/>
        </w:rPr>
        <w:t> </w:t>
      </w:r>
      <w:r>
        <w:rPr>
          <w:color w:val="6E6158"/>
        </w:rPr>
        <w:t>practice,</w:t>
      </w:r>
      <w:r>
        <w:rPr>
          <w:color w:val="6E6158"/>
          <w:spacing w:val="17"/>
        </w:rPr>
        <w:t> </w:t>
      </w:r>
      <w:r>
        <w:rPr>
          <w:color w:val="6E6158"/>
        </w:rPr>
        <w:t>Amara</w:t>
      </w:r>
      <w:r>
        <w:rPr>
          <w:color w:val="6E6158"/>
          <w:spacing w:val="17"/>
        </w:rPr>
        <w:t> </w:t>
      </w:r>
      <w:r>
        <w:rPr>
          <w:color w:val="6E6158"/>
        </w:rPr>
        <w:t>served</w:t>
      </w:r>
      <w:r>
        <w:rPr>
          <w:color w:val="6E6158"/>
          <w:spacing w:val="17"/>
        </w:rPr>
        <w:t> </w:t>
      </w:r>
      <w:r>
        <w:rPr>
          <w:color w:val="6E6158"/>
        </w:rPr>
        <w:t>as</w:t>
      </w:r>
      <w:r>
        <w:rPr>
          <w:color w:val="6E6158"/>
          <w:spacing w:val="17"/>
        </w:rPr>
        <w:t> </w:t>
      </w:r>
      <w:r>
        <w:rPr>
          <w:color w:val="6E6158"/>
        </w:rPr>
        <w:t>assistant</w:t>
      </w:r>
      <w:r>
        <w:rPr>
          <w:color w:val="6E6158"/>
          <w:spacing w:val="17"/>
        </w:rPr>
        <w:t> </w:t>
      </w:r>
      <w:r>
        <w:rPr>
          <w:color w:val="6E6158"/>
        </w:rPr>
        <w:t>city</w:t>
      </w:r>
      <w:r>
        <w:rPr>
          <w:color w:val="6E6158"/>
          <w:spacing w:val="17"/>
        </w:rPr>
        <w:t> </w:t>
      </w:r>
      <w:r>
        <w:rPr>
          <w:color w:val="6E6158"/>
        </w:rPr>
        <w:t>attorney</w:t>
      </w:r>
    </w:p>
    <w:p>
      <w:pPr>
        <w:pStyle w:val="BodyText"/>
        <w:spacing w:line="292" w:lineRule="auto"/>
        <w:ind w:left="104" w:right="377"/>
      </w:pPr>
      <w:r>
        <w:rPr>
          <w:color w:val="6E6158"/>
        </w:rPr>
        <w:t>for two Bay Area cities, where she advised officials and staff on matters including the California</w:t>
      </w:r>
      <w:r>
        <w:rPr>
          <w:color w:val="6E6158"/>
          <w:spacing w:val="40"/>
        </w:rPr>
        <w:t> </w:t>
      </w:r>
      <w:r>
        <w:rPr>
          <w:color w:val="6E6158"/>
        </w:rPr>
        <w:t>Public</w:t>
      </w:r>
      <w:r>
        <w:rPr>
          <w:color w:val="6E6158"/>
          <w:spacing w:val="27"/>
        </w:rPr>
        <w:t> </w:t>
      </w:r>
      <w:r>
        <w:rPr>
          <w:color w:val="6E6158"/>
        </w:rPr>
        <w:t>Records</w:t>
      </w:r>
      <w:r>
        <w:rPr>
          <w:color w:val="6E6158"/>
          <w:spacing w:val="27"/>
        </w:rPr>
        <w:t> </w:t>
      </w:r>
      <w:r>
        <w:rPr>
          <w:color w:val="6E6158"/>
        </w:rPr>
        <w:t>Act,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Ralph</w:t>
      </w:r>
      <w:r>
        <w:rPr>
          <w:color w:val="6E6158"/>
          <w:spacing w:val="27"/>
        </w:rPr>
        <w:t> </w:t>
      </w:r>
      <w:r>
        <w:rPr>
          <w:color w:val="6E6158"/>
        </w:rPr>
        <w:t>M.</w:t>
      </w:r>
      <w:r>
        <w:rPr>
          <w:color w:val="6E6158"/>
          <w:spacing w:val="27"/>
        </w:rPr>
        <w:t> </w:t>
      </w:r>
      <w:r>
        <w:rPr>
          <w:color w:val="6E6158"/>
        </w:rPr>
        <w:t>Brown</w:t>
      </w:r>
      <w:r>
        <w:rPr>
          <w:color w:val="6E6158"/>
          <w:spacing w:val="27"/>
        </w:rPr>
        <w:t> </w:t>
      </w:r>
      <w:r>
        <w:rPr>
          <w:color w:val="6E6158"/>
        </w:rPr>
        <w:t>Act,</w:t>
      </w:r>
      <w:r>
        <w:rPr>
          <w:color w:val="6E6158"/>
          <w:spacing w:val="27"/>
        </w:rPr>
        <w:t> </w:t>
      </w:r>
      <w:r>
        <w:rPr>
          <w:color w:val="6E6158"/>
        </w:rPr>
        <w:t>public</w:t>
      </w:r>
      <w:r>
        <w:rPr>
          <w:color w:val="6E6158"/>
          <w:spacing w:val="27"/>
        </w:rPr>
        <w:t> </w:t>
      </w:r>
      <w:r>
        <w:rPr>
          <w:color w:val="6E6158"/>
        </w:rPr>
        <w:t>finance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contracts,</w:t>
      </w:r>
      <w:r>
        <w:rPr>
          <w:color w:val="6E6158"/>
          <w:spacing w:val="27"/>
        </w:rPr>
        <w:t> </w:t>
      </w:r>
      <w:r>
        <w:rPr>
          <w:color w:val="6E6158"/>
        </w:rPr>
        <w:t>solid</w:t>
      </w:r>
      <w:r>
        <w:rPr>
          <w:color w:val="6E6158"/>
          <w:spacing w:val="27"/>
        </w:rPr>
        <w:t> </w:t>
      </w:r>
      <w:r>
        <w:rPr>
          <w:color w:val="6E6158"/>
        </w:rPr>
        <w:t>waste,</w:t>
      </w:r>
      <w:r>
        <w:rPr>
          <w:color w:val="6E6158"/>
          <w:spacing w:val="27"/>
        </w:rPr>
        <w:t> </w:t>
      </w:r>
      <w:r>
        <w:rPr>
          <w:color w:val="6E6158"/>
        </w:rPr>
        <w:t>risk</w:t>
      </w:r>
    </w:p>
    <w:p>
      <w:pPr>
        <w:pStyle w:val="BodyText"/>
        <w:spacing w:line="295" w:lineRule="auto"/>
        <w:ind w:left="104" w:right="377"/>
      </w:pPr>
      <w:r>
        <w:rPr>
          <w:color w:val="6E6158"/>
        </w:rPr>
        <w:t>management and conflicts of interest, First Amendment, and redevelopment. She drafted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state’s first comprehensive no-smoking ordinance, which banned smoking in the workplace</w:t>
      </w:r>
      <w:r>
        <w:rPr>
          <w:color w:val="6E6158"/>
          <w:spacing w:val="40"/>
        </w:rPr>
        <w:t> </w:t>
      </w:r>
      <w:r>
        <w:rPr>
          <w:color w:val="6E6158"/>
        </w:rPr>
        <w:t>(including bars and restaurants), cigarette vending machines, and smoking in multi-family</w:t>
      </w:r>
      <w:r>
        <w:rPr>
          <w:color w:val="6E6158"/>
          <w:spacing w:val="40"/>
        </w:rPr>
        <w:t> </w:t>
      </w:r>
      <w:r>
        <w:rPr>
          <w:color w:val="6E6158"/>
        </w:rPr>
        <w:t>housing units, an action followed by jurisdictions around the country.</w:t>
      </w:r>
    </w:p>
    <w:p>
      <w:pPr>
        <w:pStyle w:val="BodyText"/>
        <w:spacing w:before="196"/>
        <w:ind w:left="104"/>
      </w:pPr>
      <w:r>
        <w:rPr>
          <w:color w:val="6E6158"/>
        </w:rPr>
        <w:t>Valued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clients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1"/>
        </w:rPr>
        <w:t> </w:t>
      </w:r>
      <w:r>
        <w:rPr>
          <w:color w:val="6E6158"/>
        </w:rPr>
        <w:t>responsive,</w:t>
      </w:r>
      <w:r>
        <w:rPr>
          <w:color w:val="6E6158"/>
          <w:spacing w:val="11"/>
        </w:rPr>
        <w:t> </w:t>
      </w:r>
      <w:r>
        <w:rPr>
          <w:color w:val="6E6158"/>
        </w:rPr>
        <w:t>determined,</w:t>
      </w:r>
      <w:r>
        <w:rPr>
          <w:color w:val="6E6158"/>
          <w:spacing w:val="11"/>
        </w:rPr>
        <w:t> </w:t>
      </w:r>
      <w:r>
        <w:rPr>
          <w:color w:val="6E6158"/>
        </w:rPr>
        <w:t>pragmatic</w:t>
      </w:r>
      <w:r>
        <w:rPr>
          <w:color w:val="6E6158"/>
          <w:spacing w:val="11"/>
        </w:rPr>
        <w:t> </w:t>
      </w:r>
      <w:r>
        <w:rPr>
          <w:color w:val="6E6158"/>
        </w:rPr>
        <w:t>style,</w:t>
      </w:r>
      <w:r>
        <w:rPr>
          <w:color w:val="6E6158"/>
          <w:spacing w:val="11"/>
        </w:rPr>
        <w:t> </w:t>
      </w:r>
      <w:r>
        <w:rPr>
          <w:color w:val="6E6158"/>
        </w:rPr>
        <w:t>she</w:t>
      </w:r>
      <w:r>
        <w:rPr>
          <w:color w:val="6E6158"/>
          <w:spacing w:val="11"/>
        </w:rPr>
        <w:t> </w:t>
      </w:r>
      <w:r>
        <w:rPr>
          <w:color w:val="6E6158"/>
        </w:rPr>
        <w:t>was</w:t>
      </w:r>
      <w:r>
        <w:rPr>
          <w:color w:val="6E6158"/>
          <w:spacing w:val="11"/>
        </w:rPr>
        <w:t> </w:t>
      </w:r>
      <w:r>
        <w:rPr>
          <w:color w:val="6E6158"/>
        </w:rPr>
        <w:t>named</w:t>
      </w:r>
      <w:r>
        <w:rPr>
          <w:color w:val="6E6158"/>
          <w:spacing w:val="11"/>
        </w:rPr>
        <w:t> </w:t>
      </w:r>
      <w:r>
        <w:rPr>
          <w:color w:val="6E6158"/>
        </w:rPr>
        <w:t>“Woman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292" w:lineRule="auto" w:before="52"/>
        <w:ind w:left="104"/>
      </w:pPr>
      <w:r>
        <w:rPr>
          <w:color w:val="6E6158"/>
        </w:rPr>
        <w:t>Influence” by Globe Street Real Estate in 2019. Amara was also honored as one of San Francisco</w:t>
      </w:r>
      <w:r>
        <w:rPr>
          <w:color w:val="6E6158"/>
          <w:spacing w:val="40"/>
        </w:rPr>
        <w:t> </w:t>
      </w:r>
      <w:r>
        <w:rPr>
          <w:color w:val="6E6158"/>
        </w:rPr>
        <w:t>Business Times’ “Most Influential Women in Bay Area Business” in 2020.</w:t>
      </w:r>
    </w:p>
    <w:p>
      <w:pPr>
        <w:pStyle w:val="BodyText"/>
        <w:spacing w:line="302" w:lineRule="auto" w:before="197"/>
        <w:ind w:left="104" w:right="377"/>
      </w:pPr>
      <w:r>
        <w:rPr>
          <w:color w:val="6E6158"/>
        </w:rPr>
        <w:t>Amara is proud of her lengthy service to non-profit organizations, previously as a Board Member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Secretary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Save</w:t>
      </w:r>
      <w:r>
        <w:rPr>
          <w:color w:val="6E6158"/>
          <w:spacing w:val="25"/>
        </w:rPr>
        <w:t> </w:t>
      </w:r>
      <w:r>
        <w:rPr>
          <w:color w:val="6E6158"/>
        </w:rPr>
        <w:t>Mount</w:t>
      </w:r>
      <w:r>
        <w:rPr>
          <w:color w:val="6E6158"/>
          <w:spacing w:val="25"/>
        </w:rPr>
        <w:t> </w:t>
      </w:r>
      <w:r>
        <w:rPr>
          <w:color w:val="6E6158"/>
        </w:rPr>
        <w:t>Diablo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currently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Board</w:t>
      </w:r>
      <w:r>
        <w:rPr>
          <w:color w:val="6E6158"/>
          <w:spacing w:val="25"/>
        </w:rPr>
        <w:t> </w:t>
      </w:r>
      <w:r>
        <w:rPr>
          <w:color w:val="6E6158"/>
        </w:rPr>
        <w:t>Member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Bay</w:t>
      </w:r>
      <w:r>
        <w:rPr>
          <w:color w:val="6E6158"/>
          <w:spacing w:val="25"/>
        </w:rPr>
        <w:t> </w:t>
      </w:r>
      <w:r>
        <w:rPr>
          <w:color w:val="6E6158"/>
        </w:rPr>
        <w:t>Planning</w:t>
      </w:r>
    </w:p>
    <w:p>
      <w:pPr>
        <w:pStyle w:val="BodyText"/>
        <w:spacing w:after="0" w:line="30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77"/>
      </w:pPr>
      <w:r>
        <w:rPr>
          <w:color w:val="6E6158"/>
        </w:rPr>
        <w:t>Coalition. She is also co-chair of the Programs Committee for the East Bay Chapter of Commercial Real Estate Women (CREW).</w:t>
      </w:r>
    </w:p>
    <w:p>
      <w:pPr>
        <w:pStyle w:val="BodyText"/>
        <w:spacing w:line="292" w:lineRule="auto" w:before="205"/>
        <w:ind w:left="104" w:right="377"/>
      </w:pPr>
      <w:r>
        <w:rPr>
          <w:color w:val="6E6158"/>
        </w:rPr>
        <w:t>Amara is an avid dressage rider and hiker and proud parent of her daughter, Islay, attends Brandeis University.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158107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449pt;width:1.65pt;height:1.65pt;mso-position-horizontal-relative:page;mso-position-vertical-relative:paragraph;z-index:15729152" id="docshape13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M.S.L.,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Vermont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School,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magna cum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173767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2454pt;width:1.65pt;height:1.65pt;mso-position-horizontal-relative:page;mso-position-vertical-relative:paragraph;z-index:15729664" id="docshape14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Michigan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2" w:lineRule="auto"/>
        <w:ind w:left="356" w:right="63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64877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08438pt;width:1.65pt;height:1.65pt;mso-position-horizontal-relative:page;mso-position-vertical-relative:paragraph;z-index:15730176" id="docshape15" coordorigin="1675,102" coordsize="33,33" path="m1696,135l1687,135,1683,133,1676,127,1675,123,1675,114,1676,110,1683,104,1687,102,1696,102,1699,104,1706,110,1707,114,1707,118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323242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52187pt;width:1.65pt;height:1.65pt;mso-position-horizontal-relative:page;mso-position-vertical-relative:paragraph;z-index:15730688" id="docshape16" coordorigin="1675,509" coordsize="33,33" path="m1696,542l1687,542,1683,540,1676,534,1675,530,1675,521,1676,517,1683,511,1687,509,1696,509,1699,511,1706,517,1707,521,1707,525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581608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95937pt;width:1.65pt;height:1.65pt;mso-position-horizontal-relative:page;mso-position-vertical-relative:paragraph;z-index:15731200" id="docshape17" coordorigin="1675,916" coordsize="33,33" path="m1696,948l1687,948,1683,947,1676,941,1675,937,1675,928,1676,924,1683,918,1687,916,1696,916,1699,918,1706,924,1707,928,1707,932,1707,937,1706,941,1699,947,1696,9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Public Agency Transportation </w:t>
      </w:r>
      <w:r>
        <w:rPr>
          <w:color w:val="6E6158"/>
        </w:rPr>
        <w:t>Agencies Land Use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64092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46678pt;width:1.65pt;height:1.65pt;mso-position-horizontal-relative:page;mso-position-vertical-relative:paragraph;z-index:15731712" id="docshape18" coordorigin="1675,101" coordsize="33,33" path="m1696,133l1687,133,1683,132,1676,126,1675,122,1675,113,1676,109,1683,103,1687,101,1696,101,1699,103,1706,109,1707,113,1707,117,1707,122,1706,126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175316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462pt;width:1.65pt;height:1.65pt;mso-position-horizontal-relative:page;mso-position-vertical-relative:paragraph;z-index:15732224" id="docshape1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Eminent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Domain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175266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0508pt;width:1.65pt;height:1.65pt;mso-position-horizontal-relative:page;mso-position-vertical-relative:paragraph;z-index:15732736" id="docshape2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</w:t>
      </w:r>
      <w:r>
        <w:rPr>
          <w:color w:val="6E6158"/>
          <w:spacing w:val="16"/>
        </w:rPr>
        <w:t> </w:t>
      </w:r>
      <w:r>
        <w:rPr>
          <w:color w:val="6E6158"/>
        </w:rPr>
        <w:t>Relations</w:t>
      </w:r>
      <w:r>
        <w:rPr>
          <w:color w:val="6E6158"/>
          <w:spacing w:val="17"/>
        </w:rPr>
        <w:t> </w:t>
      </w:r>
      <w:r>
        <w:rPr>
          <w:color w:val="6E6158"/>
        </w:rPr>
        <w:t>&amp;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Regulatory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168276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0143pt;width:1.65pt;height:1.65pt;mso-position-horizontal-relative:page;mso-position-vertical-relative:paragraph;z-index:15733248" id="docshape21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Land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Use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Zoning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173464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8626pt;width:1.65pt;height:1.65pt;mso-position-horizontal-relative:page;mso-position-vertical-relative:paragraph;z-index:15733760" id="docshape22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California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2023</w:t>
      </w:r>
    </w:p>
    <w:p>
      <w:pPr>
        <w:spacing w:line="288" w:lineRule="auto" w:before="170"/>
        <w:ind w:left="356" w:right="25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266895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15369pt;width:1.65pt;height:1.65pt;mso-position-horizontal-relative:page;mso-position-vertical-relative:paragraph;z-index:15734272" id="docshape23" coordorigin="1675,420" coordsize="33,33" path="m1696,453l1687,453,1683,451,1676,445,1675,441,1675,432,1676,428,1683,422,1687,420,1696,420,1699,422,1706,428,1707,432,1707,437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“Most Influential Women in Bay Area Business” Awards List, </w:t>
      </w:r>
      <w:r>
        <w:rPr>
          <w:i/>
          <w:color w:val="6E6158"/>
          <w:sz w:val="20"/>
        </w:rPr>
        <w:t>San Francisco Business Times</w:t>
      </w:r>
      <w:r>
        <w:rPr>
          <w:color w:val="6E6158"/>
          <w:sz w:val="19"/>
        </w:rPr>
        <w:t>, May </w:t>
      </w:r>
      <w:r>
        <w:rPr>
          <w:color w:val="6E6158"/>
          <w:spacing w:val="-4"/>
          <w:sz w:val="19"/>
        </w:rPr>
        <w:t>2020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145957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92744pt;width:1.65pt;height:1.65pt;mso-position-horizontal-relative:page;mso-position-vertical-relative:paragraph;z-index:15734784" id="docshape24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Selected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“Woman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Influence,”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GlobeSt.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Real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Estate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Forum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July/August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173681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5745pt;width:1.65pt;height:1.65pt;mso-position-horizontal-relative:page;mso-position-vertical-relative:paragraph;z-index:15735296" id="docshape25" coordorigin="1675,274" coordsize="33,33" path="m1696,306l1687,306,1683,304,1676,298,1675,294,1675,285,1676,281,1683,275,1687,274,1696,274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</w:t>
      </w:r>
      <w:r>
        <w:rPr>
          <w:color w:val="6E6158"/>
          <w:spacing w:val="12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2"/>
        </w:rPr>
        <w:t> </w:t>
      </w:r>
      <w:r>
        <w:rPr>
          <w:color w:val="6E6158"/>
        </w:rPr>
        <w:t>(the</w:t>
      </w:r>
      <w:r>
        <w:rPr>
          <w:color w:val="6E6158"/>
          <w:spacing w:val="13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3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245472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8512pt;width:1.65pt;height:1.65pt;mso-position-horizontal-relative:page;mso-position-vertical-relative:paragraph;z-index:15735808" id="docshape26" coordorigin="1675,387" coordsize="33,33" path="m1696,419l1687,419,1683,418,1676,411,1675,407,1675,398,1676,395,1683,388,1687,387,1696,387,1699,388,1706,395,1707,398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Legislative Update: California Adopts New Housing Laws</w:t>
        </w:r>
      </w:hyperlink>
      <w:r>
        <w:rPr>
          <w:color w:val="6E6158"/>
        </w:rPr>
        <w:t>,” Fennemore </w:t>
      </w:r>
      <w:r>
        <w:rPr>
          <w:color w:val="6E6158"/>
        </w:rPr>
        <w:t>Blog, October 16, 2024</w:t>
      </w:r>
    </w:p>
    <w:p>
      <w:pPr>
        <w:pStyle w:val="BodyText"/>
        <w:spacing w:line="302" w:lineRule="auto" w:before="124"/>
        <w:ind w:left="356" w:right="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236211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342pt;width:1.65pt;height:1.65pt;mso-position-horizontal-relative:page;mso-position-vertical-relative:paragraph;z-index:15736320" id="docshape2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Fennemore attorney Amara Morrison provides update on evolving builder’s </w:t>
        </w:r>
        <w:r>
          <w:rPr>
            <w:color w:val="F5821F"/>
          </w:rPr>
          <w:t>remedy</w:t>
        </w:r>
      </w:hyperlink>
      <w:r>
        <w:rPr>
          <w:color w:val="6E6158"/>
        </w:rPr>
        <w:t>,” San Francisco Business Times, August 1, 2024</w:t>
      </w:r>
    </w:p>
    <w:p>
      <w:pPr>
        <w:pStyle w:val="BodyText"/>
        <w:spacing w:line="292" w:lineRule="auto" w:before="112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223920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1508pt;width:1.65pt;height:1.65pt;mso-position-horizontal-relative:page;mso-position-vertical-relative:paragraph;z-index:15736832" id="docshape28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3">
        <w:r>
          <w:rPr>
            <w:color w:val="F5821F"/>
          </w:rPr>
          <w:t>Fennemore Proudly Celebrates Women’s History Month</w:t>
        </w:r>
      </w:hyperlink>
      <w:r>
        <w:rPr>
          <w:color w:val="6E6158"/>
        </w:rPr>
        <w:t>,” Fennemore Blog, </w:t>
      </w:r>
      <w:r>
        <w:rPr>
          <w:color w:val="6E6158"/>
        </w:rPr>
        <w:t>March 14, 2024</w:t>
      </w:r>
    </w:p>
    <w:p>
      <w:pPr>
        <w:pStyle w:val="BodyText"/>
        <w:spacing w:line="302" w:lineRule="auto" w:before="124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236250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364pt;width:1.65pt;height:1.65pt;mso-position-horizontal-relative:page;mso-position-vertical-relative:paragraph;z-index:15737344" id="docshape2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“Attorney Amara Morrison on builder’s remedy, impact of the California </w:t>
      </w:r>
      <w:r>
        <w:rPr>
          <w:color w:val="6E6158"/>
        </w:rPr>
        <w:t>housing</w:t>
      </w:r>
      <w:r>
        <w:rPr>
          <w:color w:val="6E6158"/>
          <w:spacing w:val="40"/>
        </w:rPr>
        <w:t> </w:t>
      </w:r>
      <w:r>
        <w:rPr>
          <w:color w:val="6E6158"/>
        </w:rPr>
        <w:t>crisis on employers,” San Francisco Business Times, May 15, 2023</w:t>
      </w:r>
    </w:p>
    <w:p>
      <w:pPr>
        <w:pStyle w:val="BodyText"/>
        <w:spacing w:line="292" w:lineRule="auto" w:before="112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223958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4504pt;width:1.65pt;height:1.65pt;mso-position-horizontal-relative:page;mso-position-vertical-relative:paragraph;z-index:15737856" id="docshape30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“Streamlined Housing Laws and New Housing Legislation,” League of </w:t>
      </w:r>
      <w:r>
        <w:rPr>
          <w:color w:val="6E6158"/>
        </w:rPr>
        <w:t>California Cities’ Planning Commissioner Academy, March 17, 2022</w:t>
      </w:r>
    </w:p>
    <w:p>
      <w:pPr>
        <w:pStyle w:val="BodyText"/>
        <w:spacing w:line="302" w:lineRule="auto" w:before="124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236288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5358pt;width:1.65pt;height:1.65pt;mso-position-horizontal-relative:page;mso-position-vertical-relative:paragraph;z-index:15738368" id="docshape3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“Streamlined Housing Approval with SB 35, SB 330 and New Pro-Housing Legislation,” Wendel Rosen LLP, October 20, 2021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8880" id="docshape32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Supreme Court Denies Review in Berkeley Shellmound Case Paving </w:t>
      </w:r>
      <w:r>
        <w:rPr>
          <w:color w:val="6E6158"/>
        </w:rPr>
        <w:t>the Way for Housing Under SB 35,” Wendel Rosen LLP, August 2021</w:t>
      </w:r>
    </w:p>
    <w:p>
      <w:pPr>
        <w:pStyle w:val="BodyText"/>
        <w:spacing w:line="292" w:lineRule="auto" w:before="132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39392" id="docshape3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“Density Bonus: A Strong Development Tool Gets Stronger,” Wendel Rosen LLP, June 2, 2021</w:t>
      </w:r>
    </w:p>
    <w:p>
      <w:pPr>
        <w:pStyle w:val="BodyText"/>
        <w:spacing w:line="292" w:lineRule="auto" w:before="123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39904" id="docshape34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“Superior Court Validates Cupertino’s Streamlined Approval of Major Affordable Housing and Office Project,” Wendel Rosen LLP, May 6, 2020</w:t>
      </w:r>
    </w:p>
    <w:p>
      <w:pPr>
        <w:pStyle w:val="BodyText"/>
        <w:spacing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142986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753pt;width:1.65pt;height:1.65pt;mso-position-horizontal-relative:page;mso-position-vertical-relative:paragraph;z-index:15740416" id="docshape3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8"/>
        </w:rPr>
        <w:t> </w:t>
      </w:r>
      <w:r>
        <w:rPr>
          <w:color w:val="6E6158"/>
        </w:rPr>
        <w:t>“Due</w:t>
      </w:r>
      <w:r>
        <w:rPr>
          <w:color w:val="6E6158"/>
          <w:spacing w:val="8"/>
        </w:rPr>
        <w:t> </w:t>
      </w:r>
      <w:r>
        <w:rPr>
          <w:color w:val="6E6158"/>
        </w:rPr>
        <w:t>Process</w:t>
      </w:r>
      <w:r>
        <w:rPr>
          <w:color w:val="6E6158"/>
          <w:spacing w:val="8"/>
        </w:rPr>
        <w:t> </w:t>
      </w:r>
      <w:r>
        <w:rPr>
          <w:color w:val="6E6158"/>
        </w:rPr>
        <w:t>Issues</w:t>
      </w:r>
      <w:r>
        <w:rPr>
          <w:color w:val="6E6158"/>
          <w:spacing w:val="8"/>
        </w:rPr>
        <w:t> </w:t>
      </w:r>
      <w:r>
        <w:rPr>
          <w:color w:val="6E6158"/>
        </w:rPr>
        <w:t>Related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Remote</w:t>
      </w:r>
      <w:r>
        <w:rPr>
          <w:color w:val="6E6158"/>
          <w:spacing w:val="8"/>
        </w:rPr>
        <w:t> </w:t>
      </w:r>
      <w:r>
        <w:rPr>
          <w:color w:val="6E6158"/>
        </w:rPr>
        <w:t>Public</w:t>
      </w:r>
      <w:r>
        <w:rPr>
          <w:color w:val="6E6158"/>
          <w:spacing w:val="9"/>
        </w:rPr>
        <w:t> </w:t>
      </w:r>
      <w:r>
        <w:rPr>
          <w:color w:val="6E6158"/>
        </w:rPr>
        <w:t>Hearings,”</w:t>
      </w:r>
      <w:r>
        <w:rPr>
          <w:color w:val="6E6158"/>
          <w:spacing w:val="8"/>
        </w:rPr>
        <w:t> </w:t>
      </w:r>
      <w:r>
        <w:rPr>
          <w:color w:val="6E6158"/>
        </w:rPr>
        <w:t>Wendel</w:t>
      </w:r>
      <w:r>
        <w:rPr>
          <w:color w:val="6E6158"/>
          <w:spacing w:val="8"/>
        </w:rPr>
        <w:t> </w:t>
      </w:r>
      <w:r>
        <w:rPr>
          <w:color w:val="6E6158"/>
        </w:rPr>
        <w:t>Rosen</w:t>
      </w:r>
      <w:r>
        <w:rPr>
          <w:color w:val="6E6158"/>
          <w:spacing w:val="8"/>
        </w:rPr>
        <w:t> </w:t>
      </w:r>
      <w:r>
        <w:rPr>
          <w:color w:val="6E6158"/>
        </w:rPr>
        <w:t>LLP,</w:t>
      </w:r>
      <w:r>
        <w:rPr>
          <w:color w:val="6E6158"/>
          <w:spacing w:val="8"/>
        </w:rPr>
        <w:t> </w:t>
      </w:r>
      <w:r>
        <w:rPr>
          <w:color w:val="6E6158"/>
        </w:rPr>
        <w:t>May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74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263252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8546pt;width:1.65pt;height:1.65pt;mso-position-horizontal-relative:page;mso-position-vertical-relative:paragraph;z-index:15740928" id="docshape36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“Current Topics in Planning Law – from Cannabis to the Fast Track,” American Planning Association California Chapter Northern (APACA) Webinar, November 15, 2019</w:t>
      </w:r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143200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5645pt;width:1.65pt;height:1.65pt;mso-position-horizontal-relative:page;mso-position-vertical-relative:paragraph;z-index:15741440" id="docshape37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7"/>
        </w:rPr>
        <w:t> </w:t>
      </w:r>
      <w:r>
        <w:rPr>
          <w:color w:val="6E6158"/>
        </w:rPr>
        <w:t>“Wendel</w:t>
      </w:r>
      <w:r>
        <w:rPr>
          <w:color w:val="6E6158"/>
          <w:spacing w:val="8"/>
        </w:rPr>
        <w:t> </w:t>
      </w:r>
      <w:r>
        <w:rPr>
          <w:color w:val="6E6158"/>
        </w:rPr>
        <w:t>Rosen</w:t>
      </w:r>
      <w:r>
        <w:rPr>
          <w:color w:val="6E6158"/>
          <w:spacing w:val="8"/>
        </w:rPr>
        <w:t> </w:t>
      </w:r>
      <w:r>
        <w:rPr>
          <w:color w:val="6E6158"/>
        </w:rPr>
        <w:t>Focuses</w:t>
      </w:r>
      <w:r>
        <w:rPr>
          <w:color w:val="6E6158"/>
          <w:spacing w:val="7"/>
        </w:rPr>
        <w:t> </w:t>
      </w:r>
      <w:r>
        <w:rPr>
          <w:color w:val="6E6158"/>
        </w:rPr>
        <w:t>on</w:t>
      </w:r>
      <w:r>
        <w:rPr>
          <w:color w:val="6E6158"/>
          <w:spacing w:val="8"/>
        </w:rPr>
        <w:t> </w:t>
      </w:r>
      <w:r>
        <w:rPr>
          <w:color w:val="6E6158"/>
        </w:rPr>
        <w:t>More</w:t>
      </w:r>
      <w:r>
        <w:rPr>
          <w:color w:val="6E6158"/>
          <w:spacing w:val="8"/>
        </w:rPr>
        <w:t> </w:t>
      </w:r>
      <w:r>
        <w:rPr>
          <w:color w:val="6E6158"/>
        </w:rPr>
        <w:t>than</w:t>
      </w:r>
      <w:r>
        <w:rPr>
          <w:color w:val="6E6158"/>
          <w:spacing w:val="7"/>
        </w:rPr>
        <w:t> </w:t>
      </w:r>
      <w:r>
        <w:rPr>
          <w:color w:val="6E6158"/>
        </w:rPr>
        <w:t>Just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Law,”</w:t>
      </w:r>
      <w:r>
        <w:rPr>
          <w:color w:val="6E6158"/>
          <w:spacing w:val="7"/>
        </w:rPr>
        <w:t> </w:t>
      </w:r>
      <w:r>
        <w:rPr>
          <w:color w:val="6E6158"/>
        </w:rPr>
        <w:t>Contra</w:t>
      </w:r>
      <w:r>
        <w:rPr>
          <w:color w:val="6E6158"/>
          <w:spacing w:val="8"/>
        </w:rPr>
        <w:t> </w:t>
      </w:r>
      <w:r>
        <w:rPr>
          <w:color w:val="6E6158"/>
        </w:rPr>
        <w:t>Costa</w:t>
      </w:r>
      <w:r>
        <w:rPr>
          <w:color w:val="6E6158"/>
          <w:spacing w:val="8"/>
        </w:rPr>
        <w:t> </w:t>
      </w:r>
      <w:r>
        <w:rPr>
          <w:color w:val="6E6158"/>
        </w:rPr>
        <w:t>Lawyer,</w:t>
      </w:r>
      <w:r>
        <w:rPr>
          <w:color w:val="6E6158"/>
          <w:spacing w:val="7"/>
        </w:rPr>
        <w:t> </w:t>
      </w:r>
      <w:r>
        <w:rPr>
          <w:color w:val="6E6158"/>
        </w:rPr>
        <w:t>July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82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267912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544pt;width:1.65pt;height:1.65pt;mso-position-horizontal-relative:page;mso-position-vertical-relative:paragraph;z-index:15741952" id="docshape38" coordorigin="1675,422" coordsize="33,33" path="m1696,454l1687,454,1683,453,1676,447,1675,443,1675,434,1676,430,1683,423,1687,422,1696,422,1699,423,1706,430,1707,434,1707,438,1707,443,1706,447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“Streamlined Processing of Ministerial Projects Under SB 35,” City of Attorneys’ Spring</w:t>
      </w:r>
      <w:r>
        <w:rPr>
          <w:color w:val="6E6158"/>
          <w:spacing w:val="40"/>
        </w:rPr>
        <w:t> </w:t>
      </w:r>
      <w:r>
        <w:rPr>
          <w:color w:val="6E6158"/>
        </w:rPr>
        <w:t>Conference, May 2019</w:t>
      </w:r>
    </w:p>
    <w:p>
      <w:pPr>
        <w:pStyle w:val="BodyText"/>
        <w:spacing w:line="292" w:lineRule="auto" w:before="123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230624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9414pt;width:1.65pt;height:1.65pt;mso-position-horizontal-relative:page;mso-position-vertical-relative:paragraph;z-index:15742464" id="docshape39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“Is Your City Ready for Senate Bill 35 League of CA Cities’ Planning Commissioner Academy, March 7, 2019</w:t>
      </w:r>
    </w:p>
    <w:p>
      <w:pPr>
        <w:pStyle w:val="BodyText"/>
        <w:spacing w:before="13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142957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6513pt;width:1.65pt;height:1.65pt;mso-position-horizontal-relative:page;mso-position-vertical-relative:paragraph;z-index:15742976" id="docshape4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“California</w:t>
      </w:r>
      <w:r>
        <w:rPr>
          <w:color w:val="6E6158"/>
          <w:spacing w:val="11"/>
        </w:rPr>
        <w:t> </w:t>
      </w:r>
      <w:r>
        <w:rPr>
          <w:color w:val="6E6158"/>
        </w:rPr>
        <w:t>Housing</w:t>
      </w:r>
      <w:r>
        <w:rPr>
          <w:color w:val="6E6158"/>
          <w:spacing w:val="11"/>
        </w:rPr>
        <w:t> </w:t>
      </w:r>
      <w:r>
        <w:rPr>
          <w:color w:val="6E6158"/>
        </w:rPr>
        <w:t>Bills</w:t>
      </w:r>
      <w:r>
        <w:rPr>
          <w:color w:val="6E6158"/>
          <w:spacing w:val="11"/>
        </w:rPr>
        <w:t> </w:t>
      </w:r>
      <w:r>
        <w:rPr>
          <w:color w:val="6E6158"/>
        </w:rPr>
        <w:t>Impacting</w:t>
      </w:r>
      <w:r>
        <w:rPr>
          <w:color w:val="6E6158"/>
          <w:spacing w:val="10"/>
        </w:rPr>
        <w:t> </w:t>
      </w:r>
      <w:r>
        <w:rPr>
          <w:color w:val="6E6158"/>
        </w:rPr>
        <w:t>2019,</w:t>
      </w:r>
      <w:r>
        <w:rPr>
          <w:color w:val="6E6158"/>
          <w:spacing w:val="11"/>
        </w:rPr>
        <w:t> </w:t>
      </w:r>
      <w:r>
        <w:rPr>
          <w:color w:val="6E6158"/>
        </w:rPr>
        <w:t>March</w:t>
      </w:r>
      <w:r>
        <w:rPr>
          <w:color w:val="6E6158"/>
          <w:spacing w:val="11"/>
        </w:rPr>
        <w:t> </w:t>
      </w:r>
      <w:r>
        <w:rPr>
          <w:color w:val="6E6158"/>
        </w:rPr>
        <w:t>1,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4"/>
        <w:ind w:left="356"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263224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6307pt;width:1.65pt;height:1.65pt;mso-position-horizontal-relative:page;mso-position-vertical-relative:paragraph;z-index:15743488" id="docshape41" coordorigin="1675,415" coordsize="33,33" path="m1696,447l1687,447,1683,445,1676,439,1675,435,1675,426,1676,422,1683,416,1687,415,1696,415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“2019 Legal Updates; to Cannabis SB 35,” American Planning Association </w:t>
      </w:r>
      <w:r>
        <w:rPr>
          <w:color w:val="6E6158"/>
        </w:rPr>
        <w:t>California Chapter Northern, February 23, 2019</w:t>
      </w:r>
    </w:p>
    <w:p>
      <w:pPr>
        <w:pStyle w:val="BodyText"/>
        <w:spacing w:line="292" w:lineRule="auto" w:before="132"/>
        <w:ind w:left="356" w:right="2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236183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153pt;width:1.65pt;height:1.65pt;mso-position-horizontal-relative:page;mso-position-vertical-relative:paragraph;z-index:15744000" id="docshape42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“AB 2923: BART transit-oriented housing legislation,” Daily Journal’s New Laws, </w:t>
      </w:r>
      <w:r>
        <w:rPr>
          <w:color w:val="6E6158"/>
        </w:rPr>
        <w:t>January</w:t>
      </w:r>
      <w:r>
        <w:rPr>
          <w:color w:val="6E6158"/>
          <w:spacing w:val="80"/>
        </w:rPr>
        <w:t> </w:t>
      </w:r>
      <w:r>
        <w:rPr>
          <w:color w:val="6E6158"/>
        </w:rPr>
        <w:t>9, 2019</w:t>
      </w:r>
    </w:p>
    <w:p>
      <w:pPr>
        <w:pStyle w:val="BodyText"/>
        <w:spacing w:line="292" w:lineRule="auto" w:before="123"/>
        <w:ind w:left="356" w:right="2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230646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125pt;width:1.65pt;height:1.65pt;mso-position-horizontal-relative:page;mso-position-vertical-relative:paragraph;z-index:15744512" id="docshape43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“Slate of New Housing Bills Take Effect,” Wendel Rosen Client Update, January 3, </w:t>
      </w:r>
      <w:r>
        <w:rPr>
          <w:color w:val="6E6158"/>
          <w:spacing w:val="-4"/>
        </w:rPr>
        <w:t>2018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152412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949pt;width:1.65pt;height:1.65pt;mso-position-horizontal-relative:page;mso-position-vertical-relative:paragraph;z-index:15745024" id="docshape4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Secretary,</w:t>
      </w:r>
      <w:r>
        <w:rPr>
          <w:color w:val="6E6158"/>
          <w:spacing w:val="12"/>
        </w:rPr>
        <w:t> </w:t>
      </w:r>
      <w:r>
        <w:rPr>
          <w:color w:val="6E6158"/>
        </w:rPr>
        <w:t>Commercial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Women</w:t>
      </w:r>
      <w:r>
        <w:rPr>
          <w:color w:val="6E6158"/>
          <w:spacing w:val="11"/>
        </w:rPr>
        <w:t> </w:t>
      </w:r>
      <w:r>
        <w:rPr>
          <w:color w:val="6E6158"/>
        </w:rPr>
        <w:t>(CREW)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East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Bay</w:t>
      </w:r>
    </w:p>
    <w:p>
      <w:pPr>
        <w:pStyle w:val="BodyText"/>
        <w:spacing w:line="420" w:lineRule="auto" w:before="174"/>
        <w:ind w:left="356" w:right="4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175309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883pt;width:1.65pt;height:1.65pt;mso-position-horizontal-relative:page;mso-position-vertical-relative:paragraph;z-index:15745536" id="docshape4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433674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7625pt;width:1.65pt;height:1.65pt;mso-position-horizontal-relative:page;mso-position-vertical-relative:paragraph;z-index:15746048" id="docshape46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Programs Committee, Commercial Real Estate Women (CREW) – East </w:t>
      </w:r>
      <w:r>
        <w:rPr>
          <w:color w:val="6E6158"/>
        </w:rPr>
        <w:t>Bay Member, Board of Directors, Bay Planning Coalition</w:t>
      </w:r>
    </w:p>
    <w:p>
      <w:pPr>
        <w:pStyle w:val="BodyText"/>
        <w:spacing w:line="422" w:lineRule="auto"/>
        <w:ind w:left="356" w:right="32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63809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4401pt;width:1.65pt;height:1.65pt;mso-position-horizontal-relative:page;mso-position-vertical-relative:paragraph;z-index:15746560" id="docshape47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322175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8168pt;width:1.65pt;height:1.65pt;mso-position-horizontal-relative:page;mso-position-vertical-relative:paragraph;z-index:15747072" id="docshape48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585708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18782pt;width:1.65pt;height:1.65pt;mso-position-horizontal-relative:page;mso-position-vertical-relative:paragraph;z-index:15747584" id="docshape49" coordorigin="1675,922" coordsize="33,33" path="m1696,955l1687,955,1683,953,1676,947,1675,943,1675,934,1676,930,1683,924,1687,922,1696,922,1699,924,1706,930,1707,934,1707,939,1707,943,1706,947,1699,953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Government Affairs Committee, Bay Planning </w:t>
      </w:r>
      <w:r>
        <w:rPr>
          <w:color w:val="6E6158"/>
        </w:rPr>
        <w:t>Coalition Member, Leadership Committee, Innovation Tri-Valley</w:t>
      </w:r>
      <w:r>
        <w:rPr>
          <w:color w:val="6E6158"/>
          <w:spacing w:val="40"/>
        </w:rPr>
        <w:t> </w:t>
      </w:r>
      <w:r>
        <w:rPr>
          <w:color w:val="6E6158"/>
        </w:rPr>
        <w:t>Member, Pro Visors</w:t>
      </w:r>
    </w:p>
    <w:p>
      <w:pPr>
        <w:pStyle w:val="BodyText"/>
        <w:spacing w:line="422" w:lineRule="auto"/>
        <w:ind w:left="356" w:right="46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63025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2644pt;width:1.65pt;height:1.65pt;mso-position-horizontal-relative:page;mso-position-vertical-relative:paragraph;z-index:15748096" id="docshape50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321391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06387pt;width:1.65pt;height:1.65pt;mso-position-horizontal-relative:page;mso-position-vertical-relative:paragraph;z-index:15748608" id="docshape51" coordorigin="1675,506" coordsize="33,33" path="m1696,539l1687,539,1683,537,1676,531,1675,527,1675,518,1676,514,1683,508,1687,506,1696,506,1699,508,1706,514,1707,518,1707,522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579756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50154pt;width:1.65pt;height:1.65pt;mso-position-horizontal-relative:page;mso-position-vertical-relative:paragraph;z-index:15749120" id="docshape52" coordorigin="1675,913" coordsize="33,33" path="m1696,946l1687,946,1683,944,1676,938,1675,934,1675,925,1676,921,1683,915,1687,913,1696,913,1699,915,1706,921,1707,925,1707,929,1707,934,1706,938,1699,944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Immediate Past Secretary, Save Mount </w:t>
      </w:r>
      <w:r>
        <w:rPr>
          <w:color w:val="6E6158"/>
        </w:rPr>
        <w:t>Diablo Member, Contra Costa Bar Association Member, Alameda County Bar Association</w:t>
      </w:r>
    </w:p>
    <w:p>
      <w:pPr>
        <w:pStyle w:val="Heading1"/>
        <w:spacing w:before="157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158073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738pt;width:1.65pt;height:1.65pt;mso-position-horizontal-relative:page;mso-position-vertical-relative:paragraph;z-index:15749632" id="docshape53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amorrison@fennemorelaw.com" TargetMode="External"/><Relationship Id="rId11" Type="http://schemas.openxmlformats.org/officeDocument/2006/relationships/hyperlink" Target="https://www.fennemorelaw.com/legislative-update-california-adopts-new-housing-laws/" TargetMode="External"/><Relationship Id="rId12" Type="http://schemas.openxmlformats.org/officeDocument/2006/relationships/hyperlink" Target="https://www.bizjournals.com/sanfrancisco/news/2024/08/01/fennemore-attorney-amara-morrison-builders-remedy.html" TargetMode="External"/><Relationship Id="rId13" Type="http://schemas.openxmlformats.org/officeDocument/2006/relationships/hyperlink" Target="https://www.fennemorelaw.com/fennemore-proudly-celebrates-womens-history-month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2025-04-02T22:04:31Z</dcterms:created>
  <dcterms:modified xsi:type="dcterms:W3CDTF">2025-04-02T22:04:31Z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2025-04-02T00:00:00Z</vt:filetime>
  </property>
  <property fmtid="{D5CDD505-2E9C-101B-9397-08002B2CF9AE}" pid="5" name="Producer">
    <vt:lpwstr>Skia/PDF m117</vt:lpwstr>
  </property>
</Properties>
</file>