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36325" y="763308"/>
                            <a:ext cx="14401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ELIZABETH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STEPHENS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702.202.6287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2033" y="2500373"/>
                            <a:ext cx="1608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estephens@fennemorelaw.com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82;top:1762;width:226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ELIZABETH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STEPHENS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702.202.6287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702.692.8099</w:t>
                        </w:r>
                      </w:p>
                    </w:txbxContent>
                  </v:textbox>
                  <w10:wrap type="none"/>
                </v:shape>
                <v:shape style="position:absolute;left:7249;top:4497;width:253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estephens@fennemorelaw.com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ELIZABETH</w:t>
      </w:r>
      <w:r>
        <w:rPr>
          <w:color w:val="FF8100"/>
          <w:spacing w:val="7"/>
        </w:rPr>
        <w:t> </w:t>
      </w:r>
      <w:r>
        <w:rPr>
          <w:color w:val="FF8100"/>
        </w:rPr>
        <w:t>E.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STEPHENS</w:t>
      </w:r>
    </w:p>
    <w:p>
      <w:pPr>
        <w:pStyle w:val="BodyText"/>
        <w:spacing w:line="295" w:lineRule="auto" w:before="146"/>
        <w:ind w:left="104" w:right="395"/>
      </w:pPr>
      <w:r>
        <w:rPr>
          <w:color w:val="6E6158"/>
        </w:rPr>
        <w:t>Elizabeth E. Stephens offers comprehensive financial analysis and personalized debt relief</w:t>
      </w:r>
      <w:r>
        <w:rPr>
          <w:color w:val="6E6158"/>
          <w:spacing w:val="40"/>
        </w:rPr>
        <w:t> </w:t>
      </w:r>
      <w:r>
        <w:rPr>
          <w:color w:val="6E6158"/>
        </w:rPr>
        <w:t>strategies in her insolvency and bankruptcy practice. Her approach incorporates comprehensive financial analysis and personalized debt relief strategies. An experienced</w:t>
      </w:r>
      <w:r>
        <w:rPr>
          <w:color w:val="6E6158"/>
          <w:spacing w:val="40"/>
        </w:rPr>
        <w:t> </w:t>
      </w:r>
      <w:r>
        <w:rPr>
          <w:color w:val="6E6158"/>
        </w:rPr>
        <w:t>appellate lawyer, she has successfully litigated before the Ninth Circuit, Bankruptcy Appellate Panel, Nevada courts, Wisconsin courts, and the U.S. Supreme Court.</w:t>
      </w:r>
    </w:p>
    <w:p>
      <w:pPr>
        <w:pStyle w:val="BodyText"/>
        <w:spacing w:line="292" w:lineRule="auto" w:before="203"/>
        <w:ind w:left="104"/>
      </w:pPr>
      <w:r>
        <w:rPr>
          <w:color w:val="6E6158"/>
        </w:rPr>
        <w:t>A graduate of Marquette University Law School and former staff editor of its Law Review, Ms.</w:t>
      </w:r>
      <w:r>
        <w:rPr>
          <w:color w:val="6E6158"/>
          <w:spacing w:val="40"/>
        </w:rPr>
        <w:t> </w:t>
      </w:r>
      <w:r>
        <w:rPr>
          <w:color w:val="6E6158"/>
        </w:rPr>
        <w:t>Stephens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background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criminal</w:t>
      </w:r>
      <w:r>
        <w:rPr>
          <w:color w:val="6E6158"/>
          <w:spacing w:val="28"/>
        </w:rPr>
        <w:t> </w:t>
      </w:r>
      <w:r>
        <w:rPr>
          <w:color w:val="6E6158"/>
        </w:rPr>
        <w:t>appeals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assistant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defender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 w:before="2"/>
        <w:ind w:left="104"/>
      </w:pPr>
      <w:r>
        <w:rPr>
          <w:color w:val="6E6158"/>
        </w:rPr>
        <w:t>Wisconsin. She also has experience representing consumer debtors in Chapter 7 and Chapter 13</w:t>
      </w:r>
      <w:r>
        <w:rPr>
          <w:color w:val="6E6158"/>
          <w:spacing w:val="40"/>
        </w:rPr>
        <w:t> </w:t>
      </w:r>
      <w:r>
        <w:rPr>
          <w:color w:val="6E6158"/>
        </w:rPr>
        <w:t>bankruptcies,</w:t>
      </w:r>
      <w:r>
        <w:rPr>
          <w:color w:val="6E6158"/>
          <w:spacing w:val="36"/>
        </w:rPr>
        <w:t> </w:t>
      </w:r>
      <w:r>
        <w:rPr>
          <w:color w:val="6E6158"/>
        </w:rPr>
        <w:t>demonstrating</w:t>
      </w:r>
      <w:r>
        <w:rPr>
          <w:color w:val="6E6158"/>
          <w:spacing w:val="36"/>
        </w:rPr>
        <w:t> </w:t>
      </w:r>
      <w:r>
        <w:rPr>
          <w:color w:val="6E6158"/>
        </w:rPr>
        <w:t>her</w:t>
      </w:r>
      <w:r>
        <w:rPr>
          <w:color w:val="6E6158"/>
          <w:spacing w:val="36"/>
        </w:rPr>
        <w:t> </w:t>
      </w:r>
      <w:r>
        <w:rPr>
          <w:color w:val="6E6158"/>
        </w:rPr>
        <w:t>wide-ranging</w:t>
      </w:r>
      <w:r>
        <w:rPr>
          <w:color w:val="6E6158"/>
          <w:spacing w:val="36"/>
        </w:rPr>
        <w:t> </w:t>
      </w:r>
      <w:r>
        <w:rPr>
          <w:color w:val="6E6158"/>
        </w:rPr>
        <w:t>knowledge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bankruptcy</w:t>
      </w:r>
      <w:r>
        <w:rPr>
          <w:color w:val="6E6158"/>
          <w:spacing w:val="36"/>
        </w:rPr>
        <w:t> </w:t>
      </w:r>
      <w:r>
        <w:rPr>
          <w:color w:val="6E6158"/>
        </w:rPr>
        <w:t>law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commitment</w:t>
      </w:r>
    </w:p>
    <w:p>
      <w:pPr>
        <w:pStyle w:val="BodyText"/>
        <w:spacing w:before="9"/>
        <w:ind w:left="104"/>
      </w:pP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client-focused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solutions.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157880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536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Marquette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School,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7" w:lineRule="auto" w:before="171"/>
        <w:ind w:right="59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173539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561pt;width:1.65pt;height:1.65pt;mso-position-horizontal-relative:page;mso-position-vertical-relative:paragraph;z-index:15729664" id="docshape1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431905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8305pt;width:1.65pt;height:1.65pt;mso-position-horizontal-relative:page;mso-position-vertical-relative:paragraph;z-index:15730176" id="docshape13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MALS, University of </w:t>
      </w:r>
      <w:r>
        <w:rPr>
          <w:color w:val="6E6158"/>
        </w:rPr>
        <w:t>Wisconsin B.A., Alverno College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157974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941pt;width:1.65pt;height:1.65pt;mso-position-horizontal-relative:page;mso-position-vertical-relative:paragraph;z-index:15730688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157708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965pt;width:1.65pt;height:1.65pt;mso-position-horizontal-relative:page;mso-position-vertical-relative:paragraph;z-index:15731200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“New</w:t>
      </w:r>
      <w:r>
        <w:rPr>
          <w:color w:val="6E6158"/>
          <w:spacing w:val="9"/>
        </w:rPr>
        <w:t> </w:t>
      </w:r>
      <w:r>
        <w:rPr>
          <w:color w:val="6E6158"/>
        </w:rPr>
        <w:t>Congress,</w:t>
      </w:r>
      <w:r>
        <w:rPr>
          <w:color w:val="6E6158"/>
          <w:spacing w:val="8"/>
        </w:rPr>
        <w:t> </w:t>
      </w:r>
      <w:r>
        <w:rPr>
          <w:color w:val="6E6158"/>
        </w:rPr>
        <w:t>Familiar</w:t>
      </w:r>
      <w:r>
        <w:rPr>
          <w:color w:val="6E6158"/>
          <w:spacing w:val="9"/>
        </w:rPr>
        <w:t> </w:t>
      </w:r>
      <w:r>
        <w:rPr>
          <w:color w:val="6E6158"/>
        </w:rPr>
        <w:t>Legislation,”</w:t>
      </w:r>
      <w:r>
        <w:rPr>
          <w:color w:val="6E6158"/>
          <w:spacing w:val="9"/>
        </w:rPr>
        <w:t> </w:t>
      </w:r>
      <w:r>
        <w:rPr>
          <w:color w:val="6E6158"/>
        </w:rPr>
        <w:t>ABI</w:t>
      </w:r>
      <w:r>
        <w:rPr>
          <w:color w:val="6E6158"/>
          <w:spacing w:val="8"/>
        </w:rPr>
        <w:t> </w:t>
      </w:r>
      <w:r>
        <w:rPr>
          <w:color w:val="6E6158"/>
        </w:rPr>
        <w:t>Journal,</w:t>
      </w:r>
      <w:r>
        <w:rPr>
          <w:color w:val="6E6158"/>
          <w:spacing w:val="9"/>
        </w:rPr>
        <w:t> </w:t>
      </w:r>
      <w:r>
        <w:rPr>
          <w:color w:val="6E6158"/>
        </w:rPr>
        <w:t>Vol.</w:t>
      </w:r>
      <w:r>
        <w:rPr>
          <w:color w:val="6E6158"/>
          <w:spacing w:val="9"/>
        </w:rPr>
        <w:t> </w:t>
      </w:r>
      <w:r>
        <w:rPr>
          <w:color w:val="6E6158"/>
        </w:rPr>
        <w:t>XL,</w:t>
      </w:r>
      <w:r>
        <w:rPr>
          <w:color w:val="6E6158"/>
          <w:spacing w:val="8"/>
        </w:rPr>
        <w:t> </w:t>
      </w:r>
      <w:r>
        <w:rPr>
          <w:color w:val="6E6158"/>
        </w:rPr>
        <w:t>No.</w:t>
      </w:r>
      <w:r>
        <w:rPr>
          <w:color w:val="6E6158"/>
          <w:spacing w:val="9"/>
        </w:rPr>
        <w:t> </w:t>
      </w:r>
      <w:r>
        <w:rPr>
          <w:color w:val="6E6158"/>
        </w:rPr>
        <w:t>3,</w:t>
      </w:r>
      <w:r>
        <w:rPr>
          <w:color w:val="6E6158"/>
          <w:spacing w:val="9"/>
        </w:rPr>
        <w:t> </w:t>
      </w:r>
      <w:r>
        <w:rPr>
          <w:color w:val="6E6158"/>
        </w:rPr>
        <w:t>March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2021.</w:t>
      </w:r>
    </w:p>
    <w:p>
      <w:pPr>
        <w:pStyle w:val="BodyText"/>
        <w:spacing w:line="292" w:lineRule="auto"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268449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7747pt;width:1.65pt;height:1.65pt;mso-position-horizontal-relative:page;mso-position-vertical-relative:paragraph;z-index:15731712" id="docshape16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“Key Bankruptcy Legislation Sent to the House Floor,” ABI Journal, Vol. XXXIX, No. 11, November 2020.</w:t>
      </w:r>
    </w:p>
    <w:p>
      <w:pPr>
        <w:pStyle w:val="BodyText"/>
        <w:spacing w:line="292" w:lineRule="auto" w:before="123"/>
        <w:ind w:right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230526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173pt;width:1.65pt;height:1.65pt;mso-position-horizontal-relative:page;mso-position-vertical-relative:paragraph;z-index:15732224" id="docshape17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“BANKRUPTCY IN 2020: Part of the Treatment; Part of the Cure,” Firm Newsletter, June </w:t>
      </w:r>
      <w:r>
        <w:rPr>
          <w:color w:val="6E6158"/>
          <w:spacing w:val="-2"/>
        </w:rPr>
        <w:t>2020.</w:t>
      </w:r>
    </w:p>
    <w:p>
      <w:pPr>
        <w:pStyle w:val="BodyText"/>
        <w:spacing w:line="292" w:lineRule="auto" w:before="131"/>
        <w:ind w:right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235871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582pt;width:1.65pt;height:1.65pt;mso-position-horizontal-relative:page;mso-position-vertical-relative:paragraph;z-index:15732736" id="docshape1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“Chapter 12 Bankruptcy and the Family Farmer Relief Act,” Firm Newsletter, June </w:t>
      </w:r>
      <w:r>
        <w:rPr>
          <w:color w:val="6E6158"/>
          <w:spacing w:val="-2"/>
        </w:rPr>
        <w:t>2020.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3248" id="docshape1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“Sen. Warren Proposes Sweeping Reforms to the Bankruptcy Code,” ABI Journal, Vol. XXXIX, No. 3, March 2020.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3760" id="docshape2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“Student Loans and Bankruptcy: Congressional Action and Consumer </w:t>
      </w:r>
      <w:r>
        <w:rPr>
          <w:color w:val="6E6158"/>
        </w:rPr>
        <w:t>Commission Recommendations,” ABI Journal, October 2019.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15pt;width:1.65pt;height:1.65pt;mso-position-horizontal-relative:page;mso-position-vertical-relative:paragraph;z-index:15734272" id="docshape2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“Using Appearance Counsel in Court: Risky Business?” ABI Journal, Vol. XXXVII, No. 11, November 2018.</w:t>
      </w:r>
    </w:p>
    <w:p>
      <w:pPr>
        <w:pStyle w:val="BodyText"/>
        <w:spacing w:line="292" w:lineRule="auto" w:before="131"/>
        <w:ind w:right="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235998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61pt;width:1.65pt;height:1.65pt;mso-position-horizontal-relative:page;mso-position-vertical-relative:paragraph;z-index:15734784" id="docshape2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“Proof of Claim: To Sign or Not to Sign?” Consumer Bankruptcy Newsletter, Vol. 14, No.</w:t>
      </w:r>
      <w:r>
        <w:rPr>
          <w:color w:val="6E6158"/>
          <w:spacing w:val="40"/>
        </w:rPr>
        <w:t> </w:t>
      </w:r>
      <w:r>
        <w:rPr>
          <w:color w:val="6E6158"/>
        </w:rPr>
        <w:t>6, October 2016.</w:t>
      </w:r>
    </w:p>
    <w:p>
      <w:pPr>
        <w:pStyle w:val="BodyText"/>
        <w:spacing w:line="292" w:lineRule="auto" w:before="124"/>
        <w:ind w:right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37pt;width:1.65pt;height:1.65pt;mso-position-horizontal-relative:page;mso-position-vertical-relative:paragraph;z-index:15735296" id="docshape23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“PACT Will Not Prevent Trustees from Attempting to Claw Back College Tuition Payments,” ABI Journal, Vol. XXXV, No. 2, February 2016.</w:t>
      </w:r>
    </w:p>
    <w:p>
      <w:pPr>
        <w:pStyle w:val="BodyText"/>
        <w:spacing w:line="292" w:lineRule="auto" w:before="131"/>
        <w:ind w:right="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383pt;width:1.65pt;height:1.65pt;mso-position-horizontal-relative:page;mso-position-vertical-relative:paragraph;z-index:15735808" id="docshape2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“Should Bankruptcy Trustees Retain the Ability to Claw Back College Tuition </w:t>
      </w:r>
      <w:r>
        <w:rPr>
          <w:color w:val="6E6158"/>
        </w:rPr>
        <w:t>Payments Under Section 548,” ABI Consumer Bankruptcy Newsletter, August 2015.</w:t>
      </w:r>
    </w:p>
    <w:p>
      <w:pPr>
        <w:pStyle w:val="BodyText"/>
        <w:spacing w:line="292" w:lineRule="auto" w:before="123"/>
        <w:ind w:right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230903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356pt;width:1.65pt;height:1.65pt;mso-position-horizontal-relative:page;mso-position-vertical-relative:paragraph;z-index:15736320" id="docshape25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“Bankruptcy Exemptions in Nevada: A Mash-Up of State and Federal </w:t>
      </w:r>
      <w:r>
        <w:rPr>
          <w:color w:val="6E6158"/>
        </w:rPr>
        <w:t>Law,” Comminque’ Vol. 36 No. 3, March 2015.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2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152669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189pt;width:1.65pt;height:1.65pt;mso-position-horizontal-relative:page;mso-position-vertical-relative:paragraph;z-index:15736832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416202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812pt;width:1.65pt;height:1.65pt;mso-position-horizontal-relative:page;mso-position-vertical-relative:paragraph;z-index:15737344" id="docshape2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Bankruptcy Institute’s Legislation </w:t>
      </w:r>
      <w:r>
        <w:rPr>
          <w:color w:val="6E6158"/>
        </w:rPr>
        <w:t>Committee Member, Consumer Bankruptcy Committee</w:t>
      </w:r>
    </w:p>
    <w:p>
      <w:pPr>
        <w:pStyle w:val="BodyText"/>
        <w:spacing w:line="427" w:lineRule="auto"/>
        <w:ind w:right="2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63482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593pt;width:1.65pt;height:1.65pt;mso-position-horizontal-relative:page;mso-position-vertical-relative:paragraph;z-index:15737856" id="docshape2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321847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2344pt;width:1.65pt;height:1.65pt;mso-position-horizontal-relative:page;mso-position-vertical-relative:paragraph;z-index:15738368" id="docshape29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Southern Nevada Association of Bankruptcy </w:t>
      </w:r>
      <w:r>
        <w:rPr>
          <w:color w:val="6E6158"/>
        </w:rPr>
        <w:t>Attorneys Member, American Bankruptcy Institute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58764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7139pt;width:1.65pt;height:1.65pt;mso-position-horizontal-relative:page;mso-position-vertical-relative:paragraph;z-index:15738880" id="docshape30" coordorigin="1675,93" coordsize="33,33" path="m1696,125l1687,125,1683,124,1676,117,1675,113,1675,104,1676,100,1683,94,1687,93,1696,93,1699,94,1706,100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Southern</w:t>
      </w:r>
      <w:r>
        <w:rPr>
          <w:color w:val="6E6158"/>
          <w:spacing w:val="14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173922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649pt;width:1.65pt;height:1.65pt;mso-position-horizontal-relative:page;mso-position-vertical-relative:paragraph;z-index:15739392" id="docshape3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</w:t>
      </w:r>
      <w:r>
        <w:rPr>
          <w:color w:val="6E6158"/>
          <w:spacing w:val="16"/>
        </w:rPr>
        <w:t> </w:t>
      </w:r>
      <w:r>
        <w:rPr>
          <w:color w:val="6E6158"/>
        </w:rPr>
        <w:t>Consumer</w:t>
      </w:r>
      <w:r>
        <w:rPr>
          <w:color w:val="6E6158"/>
          <w:spacing w:val="17"/>
        </w:rPr>
        <w:t> </w:t>
      </w:r>
      <w:r>
        <w:rPr>
          <w:color w:val="6E6158"/>
        </w:rPr>
        <w:t>Bankruptcy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Legislation</w:t>
      </w:r>
      <w:r>
        <w:rPr>
          <w:color w:val="6E6158"/>
          <w:spacing w:val="17"/>
        </w:rPr>
        <w:t> </w:t>
      </w:r>
      <w:r>
        <w:rPr>
          <w:color w:val="6E6158"/>
        </w:rPr>
        <w:t>Committees,</w:t>
      </w:r>
      <w:r>
        <w:rPr>
          <w:color w:val="6E6158"/>
          <w:spacing w:val="17"/>
        </w:rPr>
        <w:t> </w:t>
      </w:r>
      <w:r>
        <w:rPr>
          <w:color w:val="6E6158"/>
        </w:rPr>
        <w:t>American</w:t>
      </w:r>
      <w:r>
        <w:rPr>
          <w:color w:val="6E6158"/>
          <w:spacing w:val="16"/>
        </w:rPr>
        <w:t> </w:t>
      </w:r>
      <w:r>
        <w:rPr>
          <w:color w:val="6E6158"/>
        </w:rPr>
        <w:t>Bankruptcy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157780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672pt;width:1.65pt;height:1.65pt;mso-position-horizontal-relative:page;mso-position-vertical-relative:paragraph;z-index:15739904" id="docshape3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169795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71pt;width:1.65pt;height:1.65pt;mso-position-horizontal-relative:page;mso-position-vertical-relative:paragraph;z-index:15740416" id="docshape3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174912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62pt;width:1.65pt;height:1.65pt;mso-position-horizontal-relative:page;mso-position-vertical-relative:paragraph;z-index:15740928" id="docshape3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Ninth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estephe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2025-04-04T23:07:28Z</dcterms:created>
  <dcterms:modified xsi:type="dcterms:W3CDTF">2025-04-04T23:07:28Z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m117</vt:lpwstr>
  </property>
</Properties>
</file>