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20256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539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539615"/>
                          <a:chExt cx="6066790" cy="45396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52392" y="763308"/>
                            <a:ext cx="140779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INA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COHEN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1859626"/>
                            <a:ext cx="1779905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602.916.5350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602.916.5999</w:t>
                              </w:r>
                            </w:p>
                            <w:p>
                              <w:pPr>
                                <w:spacing w:before="11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icohen@fennemorelaw.com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405006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246452" y="3482163"/>
                            <a:ext cx="3589654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those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were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seen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dancing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were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thought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insane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those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who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could not hear the music.</w:t>
                              </w:r>
                            </w:p>
                            <w:p>
                              <w:pPr>
                                <w:spacing w:before="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Friedrich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Nietzsche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854851" y="3405006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57.45pt;mso-position-horizontal-relative:page;mso-position-vertical-relative:page;z-index:-15796224" id="docshapegroup1" coordorigin="1341,560" coordsize="9554,7149">
                <v:rect style="position:absolute;left:1341;top:5108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126" type="#_x0000_t75" id="docshape4" stroked="false">
                  <v:imagedata r:id="rId7" o:title=""/>
                </v:shape>
                <v:rect style="position:absolute;left:6117;top:983;width:4777;height:4126" id="docshape5" filled="true" fillcolor="#262424" stroked="false">
                  <v:fill type="solid"/>
                </v:rect>
                <v:shape style="position:absolute;left:7118;top:2716;width:2775;height:505" id="docshape6" coordorigin="7119,2716" coordsize="2775,505" path="m9894,3213l7119,3213,7119,3221,9894,3221,9894,3213xm9894,2716l7119,2716,7119,2725,9894,2725,9894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07;top:1762;width:2217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INA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COHEN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488;width:2803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602.916.5350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602.916.5999</w:t>
                        </w:r>
                      </w:p>
                      <w:p>
                        <w:pPr>
                          <w:spacing w:before="11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icohen@fennemorelaw.com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5922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304;top:6043;width:5653;height:770" type="#_x0000_t202" id="docshape10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those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were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seen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dancing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were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thought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insane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by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those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who </w:t>
                        </w:r>
                        <w:r>
                          <w:rPr>
                            <w:color w:val="FFFFFF"/>
                            <w:sz w:val="16"/>
                          </w:rPr>
                          <w:t>could not hear the music.</w:t>
                        </w:r>
                      </w:p>
                      <w:p>
                        <w:pPr>
                          <w:spacing w:before="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Friedrich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Nietzsche</w:t>
                        </w:r>
                      </w:p>
                    </w:txbxContent>
                  </v:textbox>
                  <w10:wrap type="none"/>
                </v:shape>
                <v:shape style="position:absolute;left:8986;top:5922;width:725;height:1786" type="#_x0000_t202" id="docshape11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17"/>
        <w:rPr>
          <w:rFonts w:ascii="Times New Roman"/>
          <w:sz w:val="24"/>
        </w:rPr>
      </w:pPr>
    </w:p>
    <w:p>
      <w:pPr>
        <w:pStyle w:val="Heading1"/>
        <w:spacing w:before="1"/>
      </w:pPr>
      <w:r>
        <w:rPr>
          <w:color w:val="FF8100"/>
        </w:rPr>
        <w:t>INA</w:t>
      </w:r>
      <w:r>
        <w:rPr>
          <w:color w:val="FF8100"/>
          <w:spacing w:val="5"/>
        </w:rPr>
        <w:t> </w:t>
      </w:r>
      <w:r>
        <w:rPr>
          <w:color w:val="FF8100"/>
          <w:spacing w:val="-4"/>
        </w:rPr>
        <w:t>COHEN</w:t>
      </w:r>
    </w:p>
    <w:p>
      <w:pPr>
        <w:pStyle w:val="BodyText"/>
        <w:spacing w:line="297" w:lineRule="auto" w:before="146"/>
        <w:ind w:left="104" w:right="217"/>
        <w:jc w:val="both"/>
      </w:pPr>
      <w:r>
        <w:rPr>
          <w:color w:val="6E6158"/>
        </w:rPr>
        <w:t>Ina Cohen is an Associate whose expertise centers on corporate law, business transactions, </w:t>
      </w:r>
      <w:r>
        <w:rPr>
          <w:color w:val="6E6158"/>
        </w:rPr>
        <w:t>and mergers and acquisitions. In addition to her core specialties, she is proficient in commercial law, finance, real estate, and business immigration matters.</w:t>
      </w:r>
    </w:p>
    <w:p>
      <w:pPr>
        <w:pStyle w:val="BodyText"/>
        <w:spacing w:line="302" w:lineRule="auto" w:before="191"/>
        <w:ind w:left="104" w:right="235"/>
      </w:pPr>
      <w:r>
        <w:rPr>
          <w:color w:val="6E6158"/>
        </w:rPr>
        <w:t>Originally from Bulgaria, Ina was licensed to practice by the Sofia Bar in 2013. She quickly made</w:t>
      </w:r>
      <w:r>
        <w:rPr>
          <w:color w:val="6E6158"/>
          <w:spacing w:val="40"/>
        </w:rPr>
        <w:t> </w:t>
      </w:r>
      <w:r>
        <w:rPr>
          <w:color w:val="6E6158"/>
        </w:rPr>
        <w:t>her</w:t>
      </w:r>
      <w:r>
        <w:rPr>
          <w:color w:val="6E6158"/>
          <w:spacing w:val="20"/>
        </w:rPr>
        <w:t> </w:t>
      </w:r>
      <w:r>
        <w:rPr>
          <w:color w:val="6E6158"/>
        </w:rPr>
        <w:t>mark</w:t>
      </w:r>
      <w:r>
        <w:rPr>
          <w:color w:val="6E6158"/>
          <w:spacing w:val="20"/>
        </w:rPr>
        <w:t> </w:t>
      </w:r>
      <w:r>
        <w:rPr>
          <w:color w:val="6E6158"/>
        </w:rPr>
        <w:t>as</w:t>
      </w:r>
      <w:r>
        <w:rPr>
          <w:color w:val="6E6158"/>
          <w:spacing w:val="20"/>
        </w:rPr>
        <w:t> </w:t>
      </w:r>
      <w:r>
        <w:rPr>
          <w:color w:val="6E6158"/>
        </w:rPr>
        <w:t>a</w:t>
      </w:r>
      <w:r>
        <w:rPr>
          <w:color w:val="6E6158"/>
          <w:spacing w:val="20"/>
        </w:rPr>
        <w:t> </w:t>
      </w:r>
      <w:r>
        <w:rPr>
          <w:color w:val="6E6158"/>
        </w:rPr>
        <w:t>skilled</w:t>
      </w:r>
      <w:r>
        <w:rPr>
          <w:color w:val="6E6158"/>
          <w:spacing w:val="20"/>
        </w:rPr>
        <w:t> </w:t>
      </w:r>
      <w:r>
        <w:rPr>
          <w:color w:val="6E6158"/>
        </w:rPr>
        <w:t>attorney,</w:t>
      </w:r>
      <w:r>
        <w:rPr>
          <w:color w:val="6E6158"/>
          <w:spacing w:val="20"/>
        </w:rPr>
        <w:t> </w:t>
      </w:r>
      <w:r>
        <w:rPr>
          <w:color w:val="6E6158"/>
        </w:rPr>
        <w:t>advising</w:t>
      </w:r>
      <w:r>
        <w:rPr>
          <w:color w:val="6E6158"/>
          <w:spacing w:val="20"/>
        </w:rPr>
        <w:t> </w:t>
      </w:r>
      <w:r>
        <w:rPr>
          <w:color w:val="6E6158"/>
        </w:rPr>
        <w:t>both</w:t>
      </w:r>
      <w:r>
        <w:rPr>
          <w:color w:val="6E6158"/>
          <w:spacing w:val="20"/>
        </w:rPr>
        <w:t> </w:t>
      </w:r>
      <w:r>
        <w:rPr>
          <w:color w:val="6E6158"/>
        </w:rPr>
        <w:t>local</w:t>
      </w:r>
      <w:r>
        <w:rPr>
          <w:color w:val="6E6158"/>
          <w:spacing w:val="20"/>
        </w:rPr>
        <w:t> </w:t>
      </w:r>
      <w:r>
        <w:rPr>
          <w:color w:val="6E6158"/>
        </w:rPr>
        <w:t>and</w:t>
      </w:r>
      <w:r>
        <w:rPr>
          <w:color w:val="6E6158"/>
          <w:spacing w:val="20"/>
        </w:rPr>
        <w:t> </w:t>
      </w:r>
      <w:r>
        <w:rPr>
          <w:color w:val="6E6158"/>
        </w:rPr>
        <w:t>international</w:t>
      </w:r>
      <w:r>
        <w:rPr>
          <w:color w:val="6E6158"/>
          <w:spacing w:val="20"/>
        </w:rPr>
        <w:t> </w:t>
      </w:r>
      <w:r>
        <w:rPr>
          <w:color w:val="6E6158"/>
        </w:rPr>
        <w:t>clients</w:t>
      </w:r>
      <w:r>
        <w:rPr>
          <w:color w:val="6E6158"/>
          <w:spacing w:val="20"/>
        </w:rPr>
        <w:t> </w:t>
      </w:r>
      <w:r>
        <w:rPr>
          <w:color w:val="6E6158"/>
        </w:rPr>
        <w:t>on</w:t>
      </w:r>
      <w:r>
        <w:rPr>
          <w:color w:val="6E6158"/>
          <w:spacing w:val="20"/>
        </w:rPr>
        <w:t> </w:t>
      </w:r>
      <w:r>
        <w:rPr>
          <w:color w:val="6E6158"/>
        </w:rPr>
        <w:t>a</w:t>
      </w:r>
      <w:r>
        <w:rPr>
          <w:color w:val="6E6158"/>
          <w:spacing w:val="20"/>
        </w:rPr>
        <w:t> </w:t>
      </w:r>
      <w:r>
        <w:rPr>
          <w:color w:val="6E6158"/>
        </w:rPr>
        <w:t>wide</w:t>
      </w:r>
      <w:r>
        <w:rPr>
          <w:color w:val="6E6158"/>
          <w:spacing w:val="20"/>
        </w:rPr>
        <w:t> </w:t>
      </w:r>
      <w:r>
        <w:rPr>
          <w:color w:val="6E6158"/>
        </w:rPr>
        <w:t>range</w:t>
      </w:r>
      <w:r>
        <w:rPr>
          <w:color w:val="6E6158"/>
          <w:spacing w:val="20"/>
        </w:rPr>
        <w:t> </w:t>
      </w:r>
      <w:r>
        <w:rPr>
          <w:color w:val="6E6158"/>
        </w:rPr>
        <w:t>of</w:t>
      </w:r>
    </w:p>
    <w:p>
      <w:pPr>
        <w:pStyle w:val="BodyText"/>
        <w:spacing w:line="292" w:lineRule="auto"/>
        <w:ind w:left="104"/>
      </w:pPr>
      <w:r>
        <w:rPr>
          <w:color w:val="6E6158"/>
        </w:rPr>
        <w:t>issues, including business establishment, corporate structuring and reorganization, </w:t>
      </w:r>
      <w:r>
        <w:rPr>
          <w:color w:val="6E6158"/>
        </w:rPr>
        <w:t>contractual</w:t>
      </w:r>
      <w:r>
        <w:rPr>
          <w:color w:val="6E6158"/>
          <w:spacing w:val="40"/>
        </w:rPr>
        <w:t> </w:t>
      </w:r>
      <w:r>
        <w:rPr>
          <w:color w:val="6E6158"/>
        </w:rPr>
        <w:t>negotiations,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administrative</w:t>
      </w:r>
      <w:r>
        <w:rPr>
          <w:color w:val="6E6158"/>
          <w:spacing w:val="40"/>
        </w:rPr>
        <w:t> </w:t>
      </w:r>
      <w:r>
        <w:rPr>
          <w:color w:val="6E6158"/>
        </w:rPr>
        <w:t>responsibilities,</w:t>
      </w:r>
      <w:r>
        <w:rPr>
          <w:color w:val="6E6158"/>
          <w:spacing w:val="40"/>
        </w:rPr>
        <w:t> </w:t>
      </w:r>
      <w:r>
        <w:rPr>
          <w:color w:val="6E6158"/>
        </w:rPr>
        <w:t>at</w:t>
      </w:r>
      <w:r>
        <w:rPr>
          <w:color w:val="6E6158"/>
          <w:spacing w:val="40"/>
        </w:rPr>
        <w:t> </w:t>
      </w:r>
      <w:r>
        <w:rPr>
          <w:color w:val="6E6158"/>
        </w:rPr>
        <w:t>a</w:t>
      </w:r>
      <w:r>
        <w:rPr>
          <w:color w:val="6E6158"/>
          <w:spacing w:val="40"/>
        </w:rPr>
        <w:t> </w:t>
      </w:r>
      <w:r>
        <w:rPr>
          <w:color w:val="6E6158"/>
        </w:rPr>
        <w:t>prominent</w:t>
      </w:r>
      <w:r>
        <w:rPr>
          <w:color w:val="6E6158"/>
          <w:spacing w:val="40"/>
        </w:rPr>
        <w:t> </w:t>
      </w:r>
      <w:r>
        <w:rPr>
          <w:color w:val="6E6158"/>
        </w:rPr>
        <w:t>European</w:t>
      </w:r>
      <w:r>
        <w:rPr>
          <w:color w:val="6E6158"/>
          <w:spacing w:val="40"/>
        </w:rPr>
        <w:t> </w:t>
      </w:r>
      <w:r>
        <w:rPr>
          <w:color w:val="6E6158"/>
        </w:rPr>
        <w:t>law</w:t>
      </w:r>
      <w:r>
        <w:rPr>
          <w:color w:val="6E6158"/>
          <w:spacing w:val="40"/>
        </w:rPr>
        <w:t> </w:t>
      </w:r>
      <w:r>
        <w:rPr>
          <w:color w:val="6E6158"/>
        </w:rPr>
        <w:t>firm.</w:t>
      </w:r>
    </w:p>
    <w:p>
      <w:pPr>
        <w:pStyle w:val="BodyText"/>
        <w:spacing w:line="302" w:lineRule="auto"/>
        <w:ind w:left="104" w:right="419"/>
      </w:pPr>
      <w:r>
        <w:rPr>
          <w:color w:val="6E6158"/>
        </w:rPr>
        <w:t>Demonstrating her entrepreneurial spirit, Ina also founded and led PASSPORTS.BG, an </w:t>
      </w:r>
      <w:r>
        <w:rPr>
          <w:color w:val="6E6158"/>
        </w:rPr>
        <w:t>initiative designed to assist foreign investors and their families in relocating to Bulgaria.</w:t>
      </w:r>
    </w:p>
    <w:p>
      <w:pPr>
        <w:pStyle w:val="BodyText"/>
        <w:spacing w:before="178"/>
        <w:ind w:left="104"/>
      </w:pPr>
      <w:r>
        <w:rPr>
          <w:color w:val="6E6158"/>
        </w:rPr>
        <w:t>After</w:t>
      </w:r>
      <w:r>
        <w:rPr>
          <w:color w:val="6E6158"/>
          <w:spacing w:val="12"/>
        </w:rPr>
        <w:t> </w:t>
      </w:r>
      <w:r>
        <w:rPr>
          <w:color w:val="6E6158"/>
        </w:rPr>
        <w:t>moving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Arizona</w:t>
      </w:r>
      <w:r>
        <w:rPr>
          <w:color w:val="6E6158"/>
          <w:spacing w:val="12"/>
        </w:rPr>
        <w:t> </w:t>
      </w:r>
      <w:r>
        <w:rPr>
          <w:color w:val="6E6158"/>
        </w:rPr>
        <w:t>following</w:t>
      </w:r>
      <w:r>
        <w:rPr>
          <w:color w:val="6E6158"/>
          <w:spacing w:val="12"/>
        </w:rPr>
        <w:t> </w:t>
      </w:r>
      <w:r>
        <w:rPr>
          <w:color w:val="6E6158"/>
        </w:rPr>
        <w:t>her</w:t>
      </w:r>
      <w:r>
        <w:rPr>
          <w:color w:val="6E6158"/>
          <w:spacing w:val="12"/>
        </w:rPr>
        <w:t> </w:t>
      </w:r>
      <w:r>
        <w:rPr>
          <w:color w:val="6E6158"/>
        </w:rPr>
        <w:t>marriage,</w:t>
      </w:r>
      <w:r>
        <w:rPr>
          <w:color w:val="6E6158"/>
          <w:spacing w:val="12"/>
        </w:rPr>
        <w:t> </w:t>
      </w:r>
      <w:r>
        <w:rPr>
          <w:color w:val="6E6158"/>
        </w:rPr>
        <w:t>Ina</w:t>
      </w:r>
      <w:r>
        <w:rPr>
          <w:color w:val="6E6158"/>
          <w:spacing w:val="12"/>
        </w:rPr>
        <w:t> </w:t>
      </w:r>
      <w:r>
        <w:rPr>
          <w:color w:val="6E6158"/>
        </w:rPr>
        <w:t>advanced</w:t>
      </w:r>
      <w:r>
        <w:rPr>
          <w:color w:val="6E6158"/>
          <w:spacing w:val="12"/>
        </w:rPr>
        <w:t> </w:t>
      </w:r>
      <w:r>
        <w:rPr>
          <w:color w:val="6E6158"/>
        </w:rPr>
        <w:t>her</w:t>
      </w:r>
      <w:r>
        <w:rPr>
          <w:color w:val="6E6158"/>
          <w:spacing w:val="12"/>
        </w:rPr>
        <w:t> </w:t>
      </w:r>
      <w:r>
        <w:rPr>
          <w:color w:val="6E6158"/>
        </w:rPr>
        <w:t>legal</w:t>
      </w:r>
      <w:r>
        <w:rPr>
          <w:color w:val="6E6158"/>
          <w:spacing w:val="13"/>
        </w:rPr>
        <w:t> </w:t>
      </w:r>
      <w:r>
        <w:rPr>
          <w:color w:val="6E6158"/>
        </w:rPr>
        <w:t>education</w:t>
      </w:r>
      <w:r>
        <w:rPr>
          <w:color w:val="6E6158"/>
          <w:spacing w:val="12"/>
        </w:rPr>
        <w:t> </w:t>
      </w:r>
      <w:r>
        <w:rPr>
          <w:color w:val="6E6158"/>
        </w:rPr>
        <w:t>at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the</w:t>
      </w:r>
    </w:p>
    <w:p>
      <w:pPr>
        <w:pStyle w:val="BodyText"/>
        <w:spacing w:before="52"/>
        <w:ind w:left="104"/>
      </w:pPr>
      <w:r>
        <w:rPr>
          <w:color w:val="6E6158"/>
        </w:rPr>
        <w:t>Arizona</w:t>
      </w:r>
      <w:r>
        <w:rPr>
          <w:color w:val="6E6158"/>
          <w:spacing w:val="12"/>
        </w:rPr>
        <w:t> </w:t>
      </w:r>
      <w:r>
        <w:rPr>
          <w:color w:val="6E6158"/>
        </w:rPr>
        <w:t>State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Sandra</w:t>
      </w:r>
      <w:r>
        <w:rPr>
          <w:color w:val="6E6158"/>
          <w:spacing w:val="13"/>
        </w:rPr>
        <w:t> </w:t>
      </w:r>
      <w:r>
        <w:rPr>
          <w:color w:val="6E6158"/>
        </w:rPr>
        <w:t>Day</w:t>
      </w:r>
      <w:r>
        <w:rPr>
          <w:color w:val="6E6158"/>
          <w:spacing w:val="12"/>
        </w:rPr>
        <w:t> </w:t>
      </w:r>
      <w:r>
        <w:rPr>
          <w:color w:val="6E6158"/>
        </w:rPr>
        <w:t>O’Connor</w:t>
      </w:r>
      <w:r>
        <w:rPr>
          <w:color w:val="6E6158"/>
          <w:spacing w:val="12"/>
        </w:rPr>
        <w:t> </w:t>
      </w:r>
      <w:r>
        <w:rPr>
          <w:color w:val="6E6158"/>
        </w:rPr>
        <w:t>College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Law,</w:t>
      </w:r>
      <w:r>
        <w:rPr>
          <w:color w:val="6E6158"/>
          <w:spacing w:val="12"/>
        </w:rPr>
        <w:t> </w:t>
      </w:r>
      <w:r>
        <w:rPr>
          <w:color w:val="6E6158"/>
        </w:rPr>
        <w:t>where</w:t>
      </w:r>
      <w:r>
        <w:rPr>
          <w:color w:val="6E6158"/>
          <w:spacing w:val="12"/>
        </w:rPr>
        <w:t> </w:t>
      </w:r>
      <w:r>
        <w:rPr>
          <w:color w:val="6E6158"/>
        </w:rPr>
        <w:t>she</w:t>
      </w:r>
      <w:r>
        <w:rPr>
          <w:color w:val="6E6158"/>
          <w:spacing w:val="12"/>
        </w:rPr>
        <w:t> </w:t>
      </w:r>
      <w:r>
        <w:rPr>
          <w:color w:val="6E6158"/>
        </w:rPr>
        <w:t>earned</w:t>
      </w:r>
      <w:r>
        <w:rPr>
          <w:color w:val="6E6158"/>
          <w:spacing w:val="13"/>
        </w:rPr>
        <w:t> </w:t>
      </w:r>
      <w:r>
        <w:rPr>
          <w:color w:val="6E6158"/>
        </w:rPr>
        <w:t>her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second</w:t>
      </w:r>
    </w:p>
    <w:p>
      <w:pPr>
        <w:pStyle w:val="BodyText"/>
        <w:spacing w:line="297" w:lineRule="auto" w:before="52"/>
        <w:ind w:left="104" w:right="296"/>
      </w:pPr>
      <w:r>
        <w:rPr>
          <w:color w:val="6E6158"/>
        </w:rPr>
        <w:t>J.D. in May 2022. During her studies, she served as a Legislative Extern at the Arizona Supreme</w:t>
      </w:r>
      <w:r>
        <w:rPr>
          <w:color w:val="6E6158"/>
          <w:spacing w:val="40"/>
        </w:rPr>
        <w:t> </w:t>
      </w:r>
      <w:r>
        <w:rPr>
          <w:color w:val="6E6158"/>
        </w:rPr>
        <w:t>Court. Ina is currently licensed to practice in Europe and in the United States, giving her the</w:t>
      </w:r>
      <w:r>
        <w:rPr>
          <w:color w:val="6E6158"/>
          <w:spacing w:val="40"/>
        </w:rPr>
        <w:t> </w:t>
      </w:r>
      <w:r>
        <w:rPr>
          <w:color w:val="6E6158"/>
        </w:rPr>
        <w:t>unique distinction of being licensed on two continents.</w:t>
      </w:r>
    </w:p>
    <w:p>
      <w:pPr>
        <w:pStyle w:val="BodyText"/>
        <w:spacing w:line="292" w:lineRule="auto" w:before="191"/>
        <w:ind w:left="104" w:right="235"/>
      </w:pPr>
      <w:r>
        <w:rPr>
          <w:color w:val="6E6158"/>
        </w:rPr>
        <w:t>Outside of her professional endeavors, Ina enjoys spending time with her family, traveling, the</w:t>
      </w:r>
      <w:r>
        <w:rPr>
          <w:color w:val="6E6158"/>
          <w:spacing w:val="40"/>
        </w:rPr>
        <w:t> </w:t>
      </w:r>
      <w:r>
        <w:rPr>
          <w:color w:val="6E6158"/>
        </w:rPr>
        <w:t>culinary</w:t>
      </w:r>
      <w:r>
        <w:rPr>
          <w:color w:val="6E6158"/>
          <w:spacing w:val="20"/>
        </w:rPr>
        <w:t> </w:t>
      </w:r>
      <w:r>
        <w:rPr>
          <w:color w:val="6E6158"/>
        </w:rPr>
        <w:t>arts—particularly</w:t>
      </w:r>
      <w:r>
        <w:rPr>
          <w:color w:val="6E6158"/>
          <w:spacing w:val="20"/>
        </w:rPr>
        <w:t> </w:t>
      </w:r>
      <w:r>
        <w:rPr>
          <w:color w:val="6E6158"/>
        </w:rPr>
        <w:t>traditional</w:t>
      </w:r>
      <w:r>
        <w:rPr>
          <w:color w:val="6E6158"/>
          <w:spacing w:val="20"/>
        </w:rPr>
        <w:t> </w:t>
      </w:r>
      <w:r>
        <w:rPr>
          <w:color w:val="6E6158"/>
        </w:rPr>
        <w:t>Bulgarian</w:t>
      </w:r>
      <w:r>
        <w:rPr>
          <w:color w:val="6E6158"/>
          <w:spacing w:val="20"/>
        </w:rPr>
        <w:t> </w:t>
      </w:r>
      <w:r>
        <w:rPr>
          <w:color w:val="6E6158"/>
        </w:rPr>
        <w:t>dishes—attending</w:t>
      </w:r>
      <w:r>
        <w:rPr>
          <w:color w:val="6E6158"/>
          <w:spacing w:val="20"/>
        </w:rPr>
        <w:t> </w:t>
      </w:r>
      <w:r>
        <w:rPr>
          <w:color w:val="6E6158"/>
        </w:rPr>
        <w:t>concerts,</w:t>
      </w:r>
      <w:r>
        <w:rPr>
          <w:color w:val="6E6158"/>
          <w:spacing w:val="20"/>
        </w:rPr>
        <w:t> </w:t>
      </w:r>
      <w:r>
        <w:rPr>
          <w:color w:val="6E6158"/>
        </w:rPr>
        <w:t>and</w:t>
      </w:r>
      <w:r>
        <w:rPr>
          <w:color w:val="6E6158"/>
          <w:spacing w:val="20"/>
        </w:rPr>
        <w:t> </w:t>
      </w:r>
      <w:r>
        <w:rPr>
          <w:color w:val="6E6158"/>
        </w:rPr>
        <w:t>playing</w:t>
      </w:r>
      <w:r>
        <w:rPr>
          <w:color w:val="6E6158"/>
          <w:spacing w:val="20"/>
        </w:rPr>
        <w:t> </w:t>
      </w:r>
      <w:r>
        <w:rPr>
          <w:color w:val="6E6158"/>
          <w:spacing w:val="-2"/>
        </w:rPr>
        <w:t>tennis.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line="406" w:lineRule="exact" w:before="13"/>
        <w:ind w:left="356" w:right="24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152680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2053pt;width:1.65pt;height:1.65pt;mso-position-horizontal-relative:page;mso-position-vertical-relative:paragraph;z-index:15729152" id="docshape12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504057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9.689564pt;width:1.65pt;height:1.65pt;mso-position-horizontal-relative:page;mso-position-vertical-relative:paragraph;z-index:15729664" id="docshape13" coordorigin="1675,794" coordsize="33,33" path="m1696,826l1687,826,1683,825,1676,818,1675,815,1675,806,1676,802,1683,795,1687,794,1696,794,1699,795,1706,802,1707,806,1707,810,1707,815,1706,818,1699,825,1696,8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Arizona State University, Sandra Day O’Connor College of </w:t>
      </w:r>
      <w:r>
        <w:rPr>
          <w:color w:val="6E6158"/>
        </w:rPr>
        <w:t>Law</w:t>
      </w:r>
      <w:r>
        <w:rPr>
          <w:color w:val="6E6158"/>
        </w:rPr>
        <w:t> J.D., Sofia University St. Kliment Ohridski, Sofia, Bulgaria</w:t>
      </w:r>
    </w:p>
    <w:p>
      <w:pPr>
        <w:pStyle w:val="BodyText"/>
        <w:spacing w:before="13"/>
        <w:ind w:left="6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1223708</wp:posOffset>
                </wp:positionH>
                <wp:positionV relativeFrom="paragraph">
                  <wp:posOffset>73194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54996pt;margin-top:5.763307pt;width:1.65pt;height:1.65pt;mso-position-horizontal-relative:page;mso-position-vertical-relative:paragraph;z-index:15730176" id="docshape14" coordorigin="1927,115" coordsize="33,33" path="m1948,148l1939,148,1935,146,1929,140,1927,136,1927,127,1929,123,1935,117,1939,115,1948,115,1952,117,1958,123,1960,127,1960,132,1960,136,1958,140,1952,146,1948,1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With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Honors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left="356" w:right="72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157951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127pt;width:1.65pt;height:1.65pt;mso-position-horizontal-relative:page;mso-position-vertical-relative:paragraph;z-index:15730688" id="docshape15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416317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0876pt;width:1.65pt;height:1.65pt;mso-position-horizontal-relative:page;mso-position-vertical-relative:paragraph;z-index:15731200" id="docshape16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</w:t>
      </w:r>
      <w:r>
        <w:rPr>
          <w:color w:val="6E6158"/>
          <w:spacing w:val="40"/>
        </w:rPr>
        <w:t> </w:t>
      </w:r>
      <w:r>
        <w:rPr>
          <w:color w:val="6E6158"/>
        </w:rPr>
        <w:t>Business &amp; </w:t>
      </w:r>
      <w:r>
        <w:rPr>
          <w:color w:val="6E6158"/>
        </w:rPr>
        <w:t>Finance</w:t>
      </w:r>
    </w:p>
    <w:p>
      <w:pPr>
        <w:pStyle w:val="BodyText"/>
        <w:spacing w:before="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63597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7658pt;width:1.65pt;height:1.65pt;mso-position-horizontal-relative:page;mso-position-vertical-relative:paragraph;z-index:15731712" id="docshape17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Mergers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Acquisitions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left="356" w:right="24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158033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3543pt;width:1.65pt;height:1.65pt;mso-position-horizontal-relative:page;mso-position-vertical-relative:paragraph;z-index:15732224" id="docshape18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416398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7292pt;width:1.65pt;height:1.65pt;mso-position-horizontal-relative:page;mso-position-vertical-relative:paragraph;z-index:15732736" id="docshape19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Member-at-large, Business Law Executive Council, State Bar of </w:t>
      </w:r>
      <w:r>
        <w:rPr>
          <w:color w:val="6E6158"/>
        </w:rPr>
        <w:t>Arizona Member, Business Law Section, American Bar Association</w:t>
      </w:r>
    </w:p>
    <w:p>
      <w:pPr>
        <w:pStyle w:val="BodyText"/>
        <w:spacing w:before="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63678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4074pt;width:1.65pt;height:1.65pt;mso-position-horizontal-relative:page;mso-position-vertical-relative:paragraph;z-index:15733248" id="docshape20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8"/>
        </w:rPr>
        <w:t> </w:t>
      </w:r>
      <w:r>
        <w:rPr>
          <w:color w:val="6E6158"/>
        </w:rPr>
        <w:t>Creative</w:t>
      </w:r>
      <w:r>
        <w:rPr>
          <w:color w:val="6E6158"/>
          <w:spacing w:val="9"/>
        </w:rPr>
        <w:t> </w:t>
      </w:r>
      <w:r>
        <w:rPr>
          <w:color w:val="6E6158"/>
        </w:rPr>
        <w:t>Impact</w:t>
      </w:r>
      <w:r>
        <w:rPr>
          <w:color w:val="6E6158"/>
          <w:spacing w:val="9"/>
        </w:rPr>
        <w:t> </w:t>
      </w:r>
      <w:r>
        <w:rPr>
          <w:color w:val="6E6158"/>
        </w:rPr>
        <w:t>Board,</w:t>
      </w:r>
      <w:r>
        <w:rPr>
          <w:color w:val="6E6158"/>
          <w:spacing w:val="9"/>
        </w:rPr>
        <w:t> </w:t>
      </w:r>
      <w:r>
        <w:rPr>
          <w:color w:val="6E6158"/>
        </w:rPr>
        <w:t>ASU</w:t>
      </w:r>
      <w:r>
        <w:rPr>
          <w:color w:val="6E6158"/>
          <w:spacing w:val="8"/>
        </w:rPr>
        <w:t> </w:t>
      </w:r>
      <w:r>
        <w:rPr>
          <w:color w:val="6E6158"/>
        </w:rPr>
        <w:t>Art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Museum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</w:pPr>
      <w:r>
        <w:rPr>
          <w:color w:val="FF8100"/>
        </w:rPr>
        <w:t>HONORS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AWARDS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158114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996pt;width:1.65pt;height:1.65pt;mso-position-horizontal-relative:page;mso-position-vertical-relative:paragraph;z-index:15733760" id="docshape21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People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Know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Commercial</w:t>
      </w:r>
      <w:r>
        <w:rPr>
          <w:color w:val="6E6158"/>
          <w:spacing w:val="11"/>
        </w:rPr>
        <w:t> </w:t>
      </w:r>
      <w:r>
        <w:rPr>
          <w:color w:val="6E6158"/>
        </w:rPr>
        <w:t>Real</w:t>
      </w:r>
      <w:r>
        <w:rPr>
          <w:color w:val="6E6158"/>
          <w:spacing w:val="11"/>
        </w:rPr>
        <w:t> </w:t>
      </w:r>
      <w:r>
        <w:rPr>
          <w:color w:val="6E6158"/>
        </w:rPr>
        <w:t>Estate</w:t>
      </w:r>
      <w:r>
        <w:rPr>
          <w:color w:val="6E6158"/>
          <w:spacing w:val="11"/>
        </w:rPr>
        <w:t> </w:t>
      </w:r>
      <w:r>
        <w:rPr>
          <w:color w:val="6E6158"/>
        </w:rPr>
        <w:t>2025,</w:t>
      </w:r>
      <w:r>
        <w:rPr>
          <w:color w:val="6E6158"/>
          <w:spacing w:val="11"/>
        </w:rPr>
        <w:t> </w:t>
      </w:r>
      <w:r>
        <w:rPr>
          <w:color w:val="6E6158"/>
        </w:rPr>
        <w:t>Real</w:t>
      </w:r>
      <w:r>
        <w:rPr>
          <w:color w:val="6E6158"/>
          <w:spacing w:val="11"/>
        </w:rPr>
        <w:t> </w:t>
      </w:r>
      <w:r>
        <w:rPr>
          <w:color w:val="6E6158"/>
        </w:rPr>
        <w:t>Estate</w:t>
      </w:r>
      <w:r>
        <w:rPr>
          <w:color w:val="6E6158"/>
          <w:spacing w:val="11"/>
        </w:rPr>
        <w:t> </w:t>
      </w:r>
      <w:r>
        <w:rPr>
          <w:color w:val="6E6158"/>
        </w:rPr>
        <w:t>Attorney,</w:t>
      </w:r>
      <w:r>
        <w:rPr>
          <w:color w:val="6E6158"/>
          <w:spacing w:val="11"/>
        </w:rPr>
        <w:t> </w:t>
      </w:r>
      <w:r>
        <w:rPr>
          <w:color w:val="6E6158"/>
        </w:rPr>
        <w:t>AZ</w:t>
      </w:r>
      <w:r>
        <w:rPr>
          <w:color w:val="6E6158"/>
          <w:spacing w:val="11"/>
        </w:rPr>
        <w:t> </w:t>
      </w:r>
      <w:r>
        <w:rPr>
          <w:color w:val="6E6158"/>
        </w:rPr>
        <w:t>Big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Media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157847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8971pt;width:1.65pt;height:1.65pt;mso-position-horizontal-relative:page;mso-position-vertical-relative:paragraph;z-index:15734272" id="docshape22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174942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5017pt;width:1.65pt;height:1.65pt;mso-position-horizontal-relative:page;mso-position-vertical-relative:paragraph;z-index:15734784" id="docshape23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Sofia,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Bulgaria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  <w:spacing w:before="1"/>
        <w:ind w:left="80" w:right="7759"/>
        <w:jc w:val="center"/>
      </w:pPr>
      <w:r>
        <w:rPr>
          <w:color w:val="FF8100"/>
          <w:spacing w:val="-2"/>
        </w:rPr>
        <w:t>LANGUAGES</w:t>
      </w:r>
    </w:p>
    <w:p>
      <w:pPr>
        <w:pStyle w:val="BodyText"/>
        <w:spacing w:before="146"/>
        <w:ind w:right="775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152451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4028pt;width:1.65pt;height:1.65pt;mso-position-horizontal-relative:page;mso-position-vertical-relative:paragraph;z-index:15735296" id="docshape24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Bulgarian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icohe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2025-04-16T18:11:45Z</dcterms:created>
  <dcterms:modified xsi:type="dcterms:W3CDTF">2025-04-16T18:11:45Z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2025-04-16T00:00:00Z</vt:filetime>
  </property>
  <property fmtid="{D5CDD505-2E9C-101B-9397-08002B2CF9AE}" pid="5" name="Producer">
    <vt:lpwstr>Skia/PDF m117</vt:lpwstr>
  </property>
</Properties>
</file>