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JANET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JACKIM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602.916.5389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jjackim@fennemorelaw.com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JANET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JACKIM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602.916.5389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jjackim@fennemorelaw.com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JANET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JACKIM</w:t>
      </w:r>
    </w:p>
    <w:p>
      <w:pPr>
        <w:pStyle w:val="BodyText"/>
        <w:spacing w:before="147"/>
        <w:ind w:left="104"/>
      </w:pPr>
      <w:r>
        <w:rPr>
          <w:color w:val="6E6158"/>
        </w:rPr>
        <w:t>Janet</w:t>
      </w:r>
      <w:r>
        <w:rPr>
          <w:color w:val="6E6158"/>
          <w:spacing w:val="13"/>
        </w:rPr>
        <w:t> </w:t>
      </w:r>
      <w:r>
        <w:rPr>
          <w:color w:val="6E6158"/>
        </w:rPr>
        <w:t>Jackim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well-seasoned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whose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3"/>
        </w:rPr>
        <w:t> </w:t>
      </w:r>
      <w:r>
        <w:rPr>
          <w:color w:val="6E6158"/>
        </w:rPr>
        <w:t>focuses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cannabis</w:t>
      </w:r>
    </w:p>
    <w:p>
      <w:pPr>
        <w:pStyle w:val="BodyText"/>
        <w:spacing w:line="292" w:lineRule="auto" w:before="60"/>
        <w:ind w:left="104" w:right="596"/>
      </w:pPr>
      <w:r>
        <w:rPr>
          <w:color w:val="6E6158"/>
        </w:rPr>
        <w:t>transactions, litigation, commercial real estate, mergers and acquisitions, and litigation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foregoing.</w:t>
      </w:r>
      <w:r>
        <w:rPr>
          <w:color w:val="6E6158"/>
          <w:spacing w:val="26"/>
        </w:rPr>
        <w:t> </w:t>
      </w:r>
      <w:r>
        <w:rPr>
          <w:color w:val="6E6158"/>
        </w:rPr>
        <w:t>She’s</w:t>
      </w:r>
      <w:r>
        <w:rPr>
          <w:color w:val="6E6158"/>
          <w:spacing w:val="26"/>
        </w:rPr>
        <w:t> </w:t>
      </w:r>
      <w:r>
        <w:rPr>
          <w:color w:val="6E6158"/>
        </w:rPr>
        <w:t>been</w:t>
      </w:r>
      <w:r>
        <w:rPr>
          <w:color w:val="6E6158"/>
          <w:spacing w:val="26"/>
        </w:rPr>
        <w:t> </w:t>
      </w:r>
      <w:r>
        <w:rPr>
          <w:color w:val="6E6158"/>
        </w:rPr>
        <w:t>licensed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practice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Arizona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Colorado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over</w:t>
      </w:r>
      <w:r>
        <w:rPr>
          <w:color w:val="6E6158"/>
          <w:spacing w:val="26"/>
        </w:rPr>
        <w:t> </w:t>
      </w:r>
      <w:r>
        <w:rPr>
          <w:color w:val="6E6158"/>
        </w:rPr>
        <w:t>45</w:t>
      </w:r>
      <w:r>
        <w:rPr>
          <w:color w:val="6E6158"/>
          <w:spacing w:val="26"/>
        </w:rPr>
        <w:t> </w:t>
      </w:r>
      <w:r>
        <w:rPr>
          <w:color w:val="6E6158"/>
        </w:rPr>
        <w:t>years.</w:t>
      </w:r>
    </w:p>
    <w:p>
      <w:pPr>
        <w:pStyle w:val="BodyText"/>
        <w:spacing w:line="302" w:lineRule="auto" w:before="196"/>
        <w:ind w:left="104"/>
      </w:pPr>
      <w:r>
        <w:rPr>
          <w:color w:val="6E6158"/>
        </w:rPr>
        <w:t>With more than 10 years of experience in the cannabis industry, Janet has represented multistate</w:t>
      </w:r>
      <w:r>
        <w:rPr>
          <w:color w:val="6E6158"/>
          <w:spacing w:val="40"/>
        </w:rPr>
        <w:t> </w:t>
      </w:r>
      <w:r>
        <w:rPr>
          <w:color w:val="6E6158"/>
        </w:rPr>
        <w:t>operators,</w:t>
      </w:r>
      <w:r>
        <w:rPr>
          <w:color w:val="6E6158"/>
          <w:spacing w:val="80"/>
        </w:rPr>
        <w:t> </w:t>
      </w:r>
      <w:r>
        <w:rPr>
          <w:color w:val="6E6158"/>
        </w:rPr>
        <w:t>dispensaries,</w:t>
      </w:r>
      <w:r>
        <w:rPr>
          <w:color w:val="6E6158"/>
          <w:spacing w:val="80"/>
        </w:rPr>
        <w:t> </w:t>
      </w:r>
      <w:r>
        <w:rPr>
          <w:color w:val="6E6158"/>
        </w:rPr>
        <w:t>producers,</w:t>
      </w:r>
      <w:r>
        <w:rPr>
          <w:color w:val="6E6158"/>
          <w:spacing w:val="80"/>
        </w:rPr>
        <w:t> </w:t>
      </w:r>
      <w:r>
        <w:rPr>
          <w:color w:val="6E6158"/>
        </w:rPr>
        <w:t>cultivators,</w:t>
      </w:r>
      <w:r>
        <w:rPr>
          <w:color w:val="6E6158"/>
          <w:spacing w:val="34"/>
        </w:rPr>
        <w:t> </w:t>
      </w:r>
      <w:r>
        <w:rPr>
          <w:color w:val="6E6158"/>
        </w:rPr>
        <w:t>investors,</w:t>
      </w:r>
      <w:r>
        <w:rPr>
          <w:color w:val="6E6158"/>
          <w:spacing w:val="34"/>
        </w:rPr>
        <w:t> </w:t>
      </w:r>
      <w:r>
        <w:rPr>
          <w:color w:val="6E6158"/>
        </w:rPr>
        <w:t>lenders,</w:t>
      </w:r>
      <w:r>
        <w:rPr>
          <w:color w:val="6E6158"/>
          <w:spacing w:val="34"/>
        </w:rPr>
        <w:t> </w:t>
      </w:r>
      <w:r>
        <w:rPr>
          <w:color w:val="6E6158"/>
        </w:rPr>
        <w:t>landlords,</w:t>
      </w:r>
      <w:r>
        <w:rPr>
          <w:color w:val="6E6158"/>
          <w:spacing w:val="34"/>
        </w:rPr>
        <w:t> </w:t>
      </w:r>
      <w:r>
        <w:rPr>
          <w:color w:val="6E6158"/>
        </w:rPr>
        <w:t>tenants,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0"/>
        <w:ind w:left="104" w:right="596"/>
      </w:pPr>
      <w:r>
        <w:rPr>
          <w:color w:val="6E6158"/>
        </w:rPr>
        <w:t>vendors. She uses her aptitude for solving complex technical, operational, and financial issues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advise clients regarding cannabis dispensary certificate applications, buyout transactions,</w:t>
      </w:r>
      <w:r>
        <w:rPr>
          <w:color w:val="6E6158"/>
          <w:spacing w:val="80"/>
        </w:rPr>
        <w:t> </w:t>
      </w:r>
      <w:r>
        <w:rPr>
          <w:color w:val="6E6158"/>
        </w:rPr>
        <w:t>business restructuring, partner dispute resolution, and more.</w:t>
      </w:r>
    </w:p>
    <w:p>
      <w:pPr>
        <w:pStyle w:val="BodyText"/>
        <w:spacing w:line="295" w:lineRule="auto" w:before="196"/>
        <w:ind w:left="104" w:right="596"/>
      </w:pPr>
      <w:r>
        <w:rPr>
          <w:color w:val="6E6158"/>
        </w:rPr>
        <w:t>Janet is an active member of her community. She is on the Board of Directors of the Arizona</w:t>
      </w:r>
      <w:r>
        <w:rPr>
          <w:color w:val="6E6158"/>
          <w:spacing w:val="40"/>
        </w:rPr>
        <w:t> </w:t>
      </w:r>
      <w:r>
        <w:rPr>
          <w:color w:val="6E6158"/>
        </w:rPr>
        <w:t>Cannabis Chamber of Commerce, the Legal Committee of the National Organization for the</w:t>
      </w:r>
      <w:r>
        <w:rPr>
          <w:color w:val="6E6158"/>
          <w:spacing w:val="40"/>
        </w:rPr>
        <w:t> </w:t>
      </w:r>
      <w:r>
        <w:rPr>
          <w:color w:val="6E6158"/>
        </w:rPr>
        <w:t>Reform of Marijuana Laws (NORML), and the Secretary of the Arizona Cannabis Bar </w:t>
      </w:r>
      <w:r>
        <w:rPr>
          <w:color w:val="6E6158"/>
        </w:rPr>
        <w:t>Association.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35"/>
        </w:rPr>
        <w:t> </w:t>
      </w:r>
      <w:r>
        <w:rPr>
          <w:color w:val="6E6158"/>
        </w:rPr>
        <w:t>has</w:t>
      </w:r>
      <w:r>
        <w:rPr>
          <w:color w:val="6E6158"/>
          <w:spacing w:val="35"/>
        </w:rPr>
        <w:t> </w:t>
      </w:r>
      <w:r>
        <w:rPr>
          <w:color w:val="6E6158"/>
        </w:rPr>
        <w:t>served</w:t>
      </w:r>
      <w:r>
        <w:rPr>
          <w:color w:val="6E6158"/>
          <w:spacing w:val="35"/>
        </w:rPr>
        <w:t> </w:t>
      </w:r>
      <w:r>
        <w:rPr>
          <w:color w:val="6E6158"/>
        </w:rPr>
        <w:t>numerous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industry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civic</w:t>
      </w:r>
      <w:r>
        <w:rPr>
          <w:color w:val="6E6158"/>
          <w:spacing w:val="35"/>
        </w:rPr>
        <w:t> </w:t>
      </w:r>
      <w:r>
        <w:rPr>
          <w:color w:val="6E6158"/>
        </w:rPr>
        <w:t>organizations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Marijuana</w:t>
      </w:r>
      <w:r>
        <w:rPr>
          <w:color w:val="6E6158"/>
          <w:spacing w:val="35"/>
        </w:rPr>
        <w:t> </w:t>
      </w:r>
      <w:r>
        <w:rPr>
          <w:color w:val="6E6158"/>
        </w:rPr>
        <w:t>Industry Trade Association, Commercial Real Estate Women, CORE, and NAIOP.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157828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408pt;width:1.65pt;height:1.65pt;mso-position-horizontal-relative:page;mso-position-vertical-relative:paragraph;z-index:15729152" id="docshape7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Loyola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Chicago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173487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0409pt;width:1.65pt;height:1.65pt;mso-position-horizontal-relative:page;mso-position-vertical-relative:paragraph;z-index:15729664" id="docshape8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Indiana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60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152900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433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416433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047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674799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3789pt;width:1.65pt;height:1.65pt;mso-position-horizontal-relative:page;mso-position-vertical-relative:paragraph;z-index:15731200" id="docshape11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Cannabis Business Land Use</w:t>
      </w:r>
    </w:p>
    <w:p>
      <w:pPr>
        <w:pStyle w:val="BodyText"/>
        <w:spacing w:line="231" w:lineRule="exact" w:before="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63209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7106pt;width:1.65pt;height:1.65pt;mso-position-horizontal-relative:page;mso-position-vertical-relative:paragraph;z-index:15731712" id="docshape12" coordorigin="1675,100" coordsize="33,33" path="m1696,132l1687,132,1683,131,1676,124,1675,120,1675,111,1676,107,1683,101,1687,100,1696,100,1699,101,1706,107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420" w:lineRule="auto" w:before="182"/>
        <w:ind w:right="72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175162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346pt;width:1.65pt;height:1.65pt;mso-position-horizontal-relative:page;mso-position-vertical-relative:paragraph;z-index:15732224" id="docshape1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438695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2961pt;width:1.65pt;height:1.65pt;mso-position-horizontal-relative:page;mso-position-vertical-relative:paragraph;z-index:15732736" id="docshape14" coordorigin="1675,691" coordsize="33,33" path="m1696,723l1687,723,1683,722,1676,715,1675,712,1675,703,1676,699,1683,692,1687,691,1696,691,1699,692,1706,699,1707,703,1707,707,1707,712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5" w:lineRule="auto" w:before="88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394644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392pt;width:1.65pt;height:1.65pt;mso-position-horizontal-relative:page;mso-position-vertical-relative:paragraph;z-index:15733248" id="docshape15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acquirer and its affiliates in a series of transactions for the takeover of a</w:t>
      </w:r>
      <w:r>
        <w:rPr>
          <w:color w:val="6E6158"/>
          <w:spacing w:val="40"/>
        </w:rPr>
        <w:t> </w:t>
      </w:r>
      <w:r>
        <w:rPr>
          <w:color w:val="6E6158"/>
        </w:rPr>
        <w:t>medical cannabis dispensary and its cultivation facility, kitchen, and management </w:t>
      </w:r>
      <w:r>
        <w:rPr>
          <w:color w:val="6E6158"/>
        </w:rPr>
        <w:t>team, obtaining the dispensary’s emergence from a receivership, prosecuting claims, favorably</w:t>
      </w:r>
      <w:r>
        <w:rPr>
          <w:color w:val="6E6158"/>
          <w:spacing w:val="40"/>
        </w:rPr>
        <w:t> </w:t>
      </w:r>
      <w:r>
        <w:rPr>
          <w:color w:val="6E6158"/>
        </w:rPr>
        <w:t>settling litigation, restructuring its debt, and negotiating new contracts.</w:t>
      </w:r>
    </w:p>
    <w:p>
      <w:pPr>
        <w:pStyle w:val="BodyText"/>
        <w:spacing w:line="297" w:lineRule="auto" w:before="124"/>
        <w:ind w:right="5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324058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6432pt;width:1.65pt;height:1.65pt;mso-position-horizontal-relative:page;mso-position-vertical-relative:paragraph;z-index:15733760" id="docshape16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out-of-state companies in their Arizona dispensary and cultivation facility acquisitions, including as to acquisition mechanics, cannabis regulatory issues, Department </w:t>
      </w:r>
      <w:r>
        <w:rPr>
          <w:color w:val="6E6158"/>
        </w:rPr>
        <w:t>of Health Services transitions, and strategic planning.</w:t>
      </w:r>
    </w:p>
    <w:p>
      <w:pPr>
        <w:pStyle w:val="BodyText"/>
        <w:spacing w:line="295" w:lineRule="auto" w:before="118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501135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459465pt;width:1.65pt;height:1.65pt;mso-position-horizontal-relative:page;mso-position-vertical-relative:paragraph;z-index:15734272" id="docshape17" coordorigin="1675,789" coordsize="33,33" path="m1696,822l1687,822,1683,820,1676,814,1675,810,1675,801,1676,797,1683,791,1687,789,1696,789,1699,791,1706,797,1707,801,1707,805,1707,810,1706,814,1699,820,1696,8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medical cannabis dispensary in negotiating and documenting a complex</w:t>
      </w:r>
      <w:r>
        <w:rPr>
          <w:color w:val="6E6158"/>
          <w:spacing w:val="40"/>
        </w:rPr>
        <w:t> </w:t>
      </w:r>
      <w:r>
        <w:rPr>
          <w:color w:val="6E6158"/>
        </w:rPr>
        <w:t>commercial real estate lease for a medical marijuana dispensary site interrelated with a</w:t>
      </w:r>
      <w:r>
        <w:rPr>
          <w:color w:val="6E6158"/>
          <w:spacing w:val="40"/>
        </w:rPr>
        <w:t> </w:t>
      </w:r>
      <w:r>
        <w:rPr>
          <w:color w:val="6E6158"/>
        </w:rPr>
        <w:t>comprehensive cultivation subcontractor management agreement for the dispensary’s</w:t>
      </w:r>
      <w:r>
        <w:rPr>
          <w:color w:val="6E6158"/>
          <w:spacing w:val="40"/>
        </w:rPr>
        <w:t> </w:t>
      </w:r>
      <w:r>
        <w:rPr>
          <w:color w:val="6E6158"/>
        </w:rPr>
        <w:t>cultivation facility, resulting in the landlord’s substantial investment in the real estate for the</w:t>
      </w:r>
      <w:r>
        <w:rPr>
          <w:color w:val="6E6158"/>
          <w:spacing w:val="40"/>
        </w:rPr>
        <w:t> </w:t>
      </w:r>
      <w:r>
        <w:rPr>
          <w:color w:val="6E6158"/>
        </w:rPr>
        <w:t>benefit of the tenant-dispensary.</w:t>
      </w:r>
    </w:p>
    <w:p>
      <w:pPr>
        <w:pStyle w:val="BodyText"/>
        <w:spacing w:line="295" w:lineRule="auto" w:before="121"/>
        <w:ind w:right="751"/>
      </w:pPr>
      <w:r>
        <w:rPr>
          <w:color w:val="6E6158"/>
        </w:rPr>
        <w:t>Represented a large real estate portfolio owner in its aggressive pre- and post-bankruptcy</w:t>
      </w:r>
      <w:r>
        <w:rPr>
          <w:color w:val="6E6158"/>
          <w:spacing w:val="40"/>
        </w:rPr>
        <w:t> </w:t>
      </w:r>
      <w:r>
        <w:rPr>
          <w:color w:val="6E6158"/>
        </w:rPr>
        <w:t>growth and turnaround. Built a strategic business plan for the company’s 25 geographic</w:t>
      </w:r>
      <w:r>
        <w:rPr>
          <w:color w:val="6E6158"/>
          <w:spacing w:val="40"/>
        </w:rPr>
        <w:t> </w:t>
      </w:r>
      <w:r>
        <w:rPr>
          <w:color w:val="6E6158"/>
        </w:rPr>
        <w:t>markets, requiring site-by-site analysis (financial, real estate/location demographics, and</w:t>
      </w:r>
      <w:r>
        <w:rPr>
          <w:color w:val="6E6158"/>
          <w:spacing w:val="40"/>
        </w:rPr>
        <w:t> </w:t>
      </w:r>
      <w:r>
        <w:rPr>
          <w:color w:val="6E6158"/>
        </w:rPr>
        <w:t>capex</w:t>
      </w:r>
      <w:r>
        <w:rPr>
          <w:color w:val="6E6158"/>
          <w:spacing w:val="31"/>
        </w:rPr>
        <w:t> </w:t>
      </w:r>
      <w:r>
        <w:rPr>
          <w:color w:val="6E6158"/>
        </w:rPr>
        <w:t>requirements).</w:t>
      </w:r>
      <w:r>
        <w:rPr>
          <w:color w:val="6E6158"/>
          <w:spacing w:val="31"/>
        </w:rPr>
        <w:t> </w:t>
      </w:r>
      <w:r>
        <w:rPr>
          <w:color w:val="6E6158"/>
        </w:rPr>
        <w:t>Led</w:t>
      </w:r>
      <w:r>
        <w:rPr>
          <w:color w:val="6E6158"/>
          <w:spacing w:val="31"/>
        </w:rPr>
        <w:t> </w:t>
      </w:r>
      <w:r>
        <w:rPr>
          <w:color w:val="6E6158"/>
        </w:rPr>
        <w:t>nationwide</w:t>
      </w:r>
      <w:r>
        <w:rPr>
          <w:color w:val="6E6158"/>
          <w:spacing w:val="31"/>
        </w:rPr>
        <w:t> </w:t>
      </w:r>
      <w:r>
        <w:rPr>
          <w:color w:val="6E6158"/>
        </w:rPr>
        <w:t>50-person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  <w:r>
        <w:rPr>
          <w:color w:val="6E6158"/>
          <w:spacing w:val="31"/>
        </w:rPr>
        <w:t> </w:t>
      </w:r>
      <w:r>
        <w:rPr>
          <w:color w:val="6E6158"/>
        </w:rPr>
        <w:t>sales</w:t>
      </w:r>
      <w:r>
        <w:rPr>
          <w:color w:val="6E6158"/>
          <w:spacing w:val="31"/>
        </w:rPr>
        <w:t> </w:t>
      </w:r>
      <w:r>
        <w:rPr>
          <w:color w:val="6E6158"/>
        </w:rPr>
        <w:t>staff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back-office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65666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0616pt;width:1.65pt;height:1.65pt;mso-position-horizontal-relative:page;mso-position-vertical-relative:paragraph;z-index:15734784" id="docshape18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administrative</w:t>
      </w:r>
      <w:r>
        <w:rPr>
          <w:color w:val="6E6158"/>
          <w:spacing w:val="12"/>
        </w:rPr>
        <w:t> </w:t>
      </w:r>
      <w:r>
        <w:rPr>
          <w:color w:val="6E6158"/>
        </w:rPr>
        <w:t>group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100-200</w:t>
      </w:r>
      <w:r>
        <w:rPr>
          <w:color w:val="6E6158"/>
          <w:spacing w:val="12"/>
        </w:rPr>
        <w:t> </w:t>
      </w:r>
      <w:r>
        <w:rPr>
          <w:color w:val="6E6158"/>
        </w:rPr>
        <w:t>employees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purpose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selling</w:t>
      </w:r>
      <w:r>
        <w:rPr>
          <w:color w:val="6E6158"/>
          <w:spacing w:val="13"/>
        </w:rPr>
        <w:t> </w:t>
      </w:r>
      <w:r>
        <w:rPr>
          <w:color w:val="6E6158"/>
        </w:rPr>
        <w:t>2,500</w:t>
      </w:r>
      <w:r>
        <w:rPr>
          <w:color w:val="6E6158"/>
          <w:spacing w:val="12"/>
        </w:rPr>
        <w:t> </w:t>
      </w:r>
      <w:r>
        <w:rPr>
          <w:color w:val="6E6158"/>
        </w:rPr>
        <w:t>REOs,</w:t>
      </w:r>
      <w:r>
        <w:rPr>
          <w:color w:val="6E6158"/>
          <w:spacing w:val="12"/>
        </w:rPr>
        <w:t> </w:t>
      </w:r>
      <w:r>
        <w:rPr>
          <w:color w:val="6E6158"/>
        </w:rPr>
        <w:t>resulting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2" w:lineRule="auto" w:before="60"/>
      </w:pPr>
      <w:r>
        <w:rPr>
          <w:color w:val="6E6158"/>
        </w:rPr>
        <w:t>$100 million cash. Assessed the company’s 6,000 real estate holdings (convenience stores, </w:t>
      </w:r>
      <w:r>
        <w:rPr>
          <w:color w:val="6E6158"/>
        </w:rPr>
        <w:t>gas</w:t>
      </w:r>
      <w:r>
        <w:rPr>
          <w:color w:val="6E6158"/>
          <w:spacing w:val="40"/>
        </w:rPr>
        <w:t> </w:t>
      </w:r>
      <w:r>
        <w:rPr>
          <w:color w:val="6E6158"/>
        </w:rPr>
        <w:t>operations,</w:t>
      </w:r>
      <w:r>
        <w:rPr>
          <w:color w:val="6E6158"/>
          <w:spacing w:val="38"/>
        </w:rPr>
        <w:t> </w:t>
      </w:r>
      <w:r>
        <w:rPr>
          <w:color w:val="6E6158"/>
        </w:rPr>
        <w:t>office</w:t>
      </w:r>
      <w:r>
        <w:rPr>
          <w:color w:val="6E6158"/>
          <w:spacing w:val="38"/>
        </w:rPr>
        <w:t> </w:t>
      </w:r>
      <w:r>
        <w:rPr>
          <w:color w:val="6E6158"/>
        </w:rPr>
        <w:t>buildings,</w:t>
      </w:r>
      <w:r>
        <w:rPr>
          <w:color w:val="6E6158"/>
          <w:spacing w:val="38"/>
        </w:rPr>
        <w:t> </w:t>
      </w:r>
      <w:r>
        <w:rPr>
          <w:color w:val="6E6158"/>
        </w:rPr>
        <w:t>warehouses,</w:t>
      </w:r>
      <w:r>
        <w:rPr>
          <w:color w:val="6E6158"/>
          <w:spacing w:val="38"/>
        </w:rPr>
        <w:t> </w:t>
      </w:r>
      <w:r>
        <w:rPr>
          <w:color w:val="6E6158"/>
        </w:rPr>
        <w:t>vacant</w:t>
      </w:r>
      <w:r>
        <w:rPr>
          <w:color w:val="6E6158"/>
          <w:spacing w:val="38"/>
        </w:rPr>
        <w:t> </w:t>
      </w:r>
      <w:r>
        <w:rPr>
          <w:color w:val="6E6158"/>
        </w:rPr>
        <w:t>land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buildings,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speculative</w:t>
      </w:r>
      <w:r>
        <w:rPr>
          <w:color w:val="6E6158"/>
          <w:spacing w:val="38"/>
        </w:rPr>
        <w:t> </w:t>
      </w:r>
      <w:r>
        <w:rPr>
          <w:color w:val="6E6158"/>
        </w:rPr>
        <w:t>land</w:t>
      </w:r>
    </w:p>
    <w:p>
      <w:pPr>
        <w:pStyle w:val="BodyText"/>
        <w:spacing w:line="292" w:lineRule="auto" w:before="1"/>
        <w:ind w:right="421"/>
      </w:pPr>
      <w:r>
        <w:rPr>
          <w:color w:val="6E6158"/>
        </w:rPr>
        <w:t>deals) for profitability. Closed and sold 2,500 underperforming properties. Renegotiated </w:t>
      </w:r>
      <w:r>
        <w:rPr>
          <w:color w:val="6E6158"/>
        </w:rPr>
        <w:t>1,500</w:t>
      </w:r>
      <w:r>
        <w:rPr>
          <w:color w:val="6E6158"/>
          <w:spacing w:val="40"/>
        </w:rPr>
        <w:t> </w:t>
      </w:r>
      <w:r>
        <w:rPr>
          <w:color w:val="6E6158"/>
        </w:rPr>
        <w:t>commercial leases to produce $15 million in annual rent savings.</w:t>
      </w:r>
    </w:p>
    <w:p>
      <w:pPr>
        <w:pStyle w:val="BodyText"/>
        <w:spacing w:line="292" w:lineRule="auto" w:before="131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235826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981pt;width:1.65pt;height:1.65pt;mso-position-horizontal-relative:page;mso-position-vertical-relative:paragraph;z-index:15735296" id="docshape1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Arizona cannabis companies in relation to initial public offerings,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offerings, mergers, and strategic business alliances.</w:t>
      </w:r>
    </w:p>
    <w:p>
      <w:pPr>
        <w:pStyle w:val="BodyText"/>
        <w:spacing w:line="292" w:lineRule="auto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323935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6714pt;width:1.65pt;height:1.65pt;mso-position-horizontal-relative:page;mso-position-vertical-relative:paragraph;z-index:15735808" id="docshape20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cannabis companies in preparing and negotiating complex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leases,</w:t>
      </w:r>
      <w:r>
        <w:rPr>
          <w:color w:val="6E6158"/>
          <w:spacing w:val="35"/>
        </w:rPr>
        <w:t> </w:t>
      </w:r>
      <w:r>
        <w:rPr>
          <w:color w:val="6E6158"/>
        </w:rPr>
        <w:t>loans,</w:t>
      </w:r>
      <w:r>
        <w:rPr>
          <w:color w:val="6E6158"/>
          <w:spacing w:val="35"/>
        </w:rPr>
        <w:t> </w:t>
      </w:r>
      <w:r>
        <w:rPr>
          <w:color w:val="6E6158"/>
        </w:rPr>
        <w:t>partnership</w:t>
      </w:r>
      <w:r>
        <w:rPr>
          <w:color w:val="6E6158"/>
          <w:spacing w:val="35"/>
        </w:rPr>
        <w:t> </w:t>
      </w:r>
      <w:r>
        <w:rPr>
          <w:color w:val="6E6158"/>
        </w:rPr>
        <w:t>agreements,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vendor</w:t>
      </w:r>
      <w:r>
        <w:rPr>
          <w:color w:val="6E6158"/>
          <w:spacing w:val="35"/>
        </w:rPr>
        <w:t> </w:t>
      </w:r>
      <w:r>
        <w:rPr>
          <w:color w:val="6E6158"/>
        </w:rPr>
        <w:t>contracts</w:t>
      </w:r>
      <w:r>
        <w:rPr>
          <w:color w:val="6E6158"/>
          <w:spacing w:val="35"/>
        </w:rPr>
        <w:t> </w:t>
      </w:r>
      <w:r>
        <w:rPr>
          <w:color w:val="6E6158"/>
        </w:rPr>
        <w:t>for</w:t>
      </w:r>
      <w:r>
        <w:rPr>
          <w:color w:val="6E6158"/>
          <w:spacing w:val="35"/>
        </w:rPr>
        <w:t> </w:t>
      </w:r>
      <w:r>
        <w:rPr>
          <w:color w:val="6E6158"/>
        </w:rPr>
        <w:t>businesses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cannabis</w:t>
      </w:r>
    </w:p>
    <w:p>
      <w:pPr>
        <w:pStyle w:val="BodyText"/>
        <w:spacing w:before="10"/>
      </w:pPr>
      <w:r>
        <w:rPr>
          <w:color w:val="6E6158"/>
          <w:spacing w:val="-2"/>
        </w:rPr>
        <w:t>market.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262848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6711pt;width:1.65pt;height:1.65pt;mso-position-horizontal-relative:page;mso-position-vertical-relative:paragraph;z-index:15736320" id="docshape21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hemp/CBD products distributor as to federal and state regulatory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with special attention to U.S. Food and Drug Administration oversight issues.</w:t>
      </w:r>
    </w:p>
    <w:p>
      <w:pPr>
        <w:pStyle w:val="BodyText"/>
        <w:spacing w:line="295" w:lineRule="auto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509675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31947pt;width:1.65pt;height:1.65pt;mso-position-horizontal-relative:page;mso-position-vertical-relative:paragraph;z-index:15736832" id="docshape22" coordorigin="1675,803" coordsize="33,33" path="m1696,835l1687,835,1683,834,1676,827,1675,823,1675,814,1676,811,1683,804,1687,803,1696,803,1699,804,1706,811,1707,814,1707,819,1707,823,1706,827,1699,834,1696,8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lending institutions, FDIC affiliates, and commercial borrowers in negotiating</w:t>
      </w:r>
      <w:r>
        <w:rPr>
          <w:color w:val="6E6158"/>
          <w:spacing w:val="40"/>
        </w:rPr>
        <w:t> </w:t>
      </w:r>
      <w:r>
        <w:rPr>
          <w:color w:val="6E6158"/>
        </w:rPr>
        <w:t>commercial stabilization loans, loan workouts, and bankruptcy resolutions. Conducted</w:t>
      </w:r>
      <w:r>
        <w:rPr>
          <w:color w:val="6E6158"/>
          <w:spacing w:val="80"/>
        </w:rPr>
        <w:t> </w:t>
      </w:r>
      <w:r>
        <w:rPr>
          <w:color w:val="6E6158"/>
        </w:rPr>
        <w:t>trustee’s sales, initiated litigation enforcing commercial loan transactions, defended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receivership</w:t>
      </w:r>
      <w:r>
        <w:rPr>
          <w:color w:val="6E6158"/>
          <w:spacing w:val="37"/>
        </w:rPr>
        <w:t> </w:t>
      </w:r>
      <w:r>
        <w:rPr>
          <w:color w:val="6E6158"/>
        </w:rPr>
        <w:t>appointments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loan</w:t>
      </w:r>
      <w:r>
        <w:rPr>
          <w:color w:val="6E6158"/>
          <w:spacing w:val="37"/>
        </w:rPr>
        <w:t> </w:t>
      </w:r>
      <w:r>
        <w:rPr>
          <w:color w:val="6E6158"/>
        </w:rPr>
        <w:t>defaults,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prepared</w:t>
      </w:r>
      <w:r>
        <w:rPr>
          <w:color w:val="6E6158"/>
          <w:spacing w:val="37"/>
        </w:rPr>
        <w:t> </w:t>
      </w:r>
      <w:r>
        <w:rPr>
          <w:color w:val="6E6158"/>
        </w:rPr>
        <w:t>forbearance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other</w:t>
      </w:r>
    </w:p>
    <w:p>
      <w:pPr>
        <w:pStyle w:val="BodyText"/>
        <w:spacing w:before="9"/>
      </w:pPr>
      <w:r>
        <w:rPr>
          <w:color w:val="6E6158"/>
          <w:spacing w:val="-2"/>
        </w:rPr>
        <w:t>settlements.</w:t>
      </w:r>
    </w:p>
    <w:p>
      <w:pPr>
        <w:pStyle w:val="BodyText"/>
        <w:spacing w:line="292" w:lineRule="auto" w:before="174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356235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50018pt;width:1.65pt;height:1.65pt;mso-position-horizontal-relative:page;mso-position-vertical-relative:paragraph;z-index:15737344" id="docshape23" coordorigin="1675,561" coordsize="33,33" path="m1696,594l1687,594,1683,592,1676,586,1675,582,1675,573,1676,569,1683,563,1687,561,1696,561,1699,563,1706,569,1707,573,1707,577,1707,582,1706,586,1699,592,1696,5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property owner in lease negotiations with a cannabis operator tenant for a</w:t>
      </w:r>
      <w:r>
        <w:rPr>
          <w:color w:val="6E6158"/>
          <w:spacing w:val="40"/>
        </w:rPr>
        <w:t> </w:t>
      </w:r>
      <w:r>
        <w:rPr>
          <w:color w:val="6E6158"/>
        </w:rPr>
        <w:t>dispensary and cultivation site, obtaining three times the offered rent for her client as a result</w:t>
      </w:r>
      <w:r>
        <w:rPr>
          <w:color w:val="6E6158"/>
          <w:spacing w:val="80"/>
        </w:rPr>
        <w:t> </w:t>
      </w:r>
      <w:r>
        <w:rPr>
          <w:color w:val="6E6158"/>
        </w:rPr>
        <w:t>of her knowledge of market rents in the cannabis industry.</w:t>
      </w:r>
    </w:p>
    <w:p>
      <w:pPr>
        <w:pStyle w:val="BodyText"/>
        <w:spacing w:line="292" w:lineRule="auto" w:before="13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324414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4416pt;width:1.65pt;height:1.65pt;mso-position-horizontal-relative:page;mso-position-vertical-relative:paragraph;z-index:15737856" id="docshape24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a team of zoning professionals that challenged local governments resisting</w:t>
      </w:r>
      <w:r>
        <w:rPr>
          <w:color w:val="6E6158"/>
          <w:spacing w:val="40"/>
        </w:rPr>
        <w:t> </w:t>
      </w:r>
      <w:r>
        <w:rPr>
          <w:color w:val="6E6158"/>
        </w:rPr>
        <w:t>dispensary locations in their cities, created new locations through rezoning and </w:t>
      </w:r>
      <w:r>
        <w:rPr>
          <w:color w:val="6E6158"/>
        </w:rPr>
        <w:t>variance applications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appealed</w:t>
      </w:r>
      <w:r>
        <w:rPr>
          <w:color w:val="6E6158"/>
          <w:spacing w:val="27"/>
        </w:rPr>
        <w:t> </w:t>
      </w:r>
      <w:r>
        <w:rPr>
          <w:color w:val="6E6158"/>
        </w:rPr>
        <w:t>misinterpretations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zoning</w:t>
      </w:r>
      <w:r>
        <w:rPr>
          <w:color w:val="6E6158"/>
          <w:spacing w:val="27"/>
        </w:rPr>
        <w:t> </w:t>
      </w:r>
      <w:r>
        <w:rPr>
          <w:color w:val="6E6158"/>
        </w:rPr>
        <w:t>laws</w:t>
      </w:r>
      <w:r>
        <w:rPr>
          <w:color w:val="6E6158"/>
          <w:spacing w:val="27"/>
        </w:rPr>
        <w:t> </w:t>
      </w:r>
      <w:r>
        <w:rPr>
          <w:color w:val="6E6158"/>
        </w:rPr>
        <w:t>applicable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dispensaries.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236585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8815pt;width:1.65pt;height:1.65pt;mso-position-horizontal-relative:page;mso-position-vertical-relative:paragraph;z-index:15738368" id="docshape25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Through administrative and litigation proceedings, prosecuted municipal zoning actions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wrongfully discriminated against cannabis businesses.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3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157987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96pt;width:1.65pt;height:1.65pt;mso-position-horizontal-relative:page;mso-position-vertical-relative:paragraph;z-index:15738880" id="docshape2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416353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703pt;width:1.65pt;height:1.65pt;mso-position-horizontal-relative:page;mso-position-vertical-relative:paragraph;z-index:15739392" id="docshape2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Best Lawyers in America®, Real Estate Law, 2018-</w:t>
      </w:r>
      <w:r>
        <w:rPr>
          <w:color w:val="6E6158"/>
        </w:rPr>
        <w:t>2024 AV-Preeminent® Rating, Martindale-Hubbell®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3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0416" id="docshape2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0928" id="docshape2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Band 4 Chambers 2024 Cannabis Ranking of </w:t>
      </w:r>
      <w:r>
        <w:rPr>
          <w:color w:val="6E6158"/>
        </w:rPr>
        <w:t>Attorneys Global Top 200 Cannabis Lawyers 2021-2024</w:t>
      </w:r>
    </w:p>
    <w:p>
      <w:pPr>
        <w:pStyle w:val="BodyText"/>
        <w:spacing w:line="420" w:lineRule="auto" w:before="7"/>
        <w:ind w:right="22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89pt;width:1.65pt;height:1.65pt;mso-position-horizontal-relative:page;mso-position-vertical-relative:paragraph;z-index:15741440" id="docshape3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322252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39pt;width:1.65pt;height:1.65pt;mso-position-horizontal-relative:page;mso-position-vertical-relative:paragraph;z-index:15741952" id="docshape3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Woman Leader in the Law, Legal Leaders, American Lawyer Media, </w:t>
      </w:r>
      <w:r>
        <w:rPr>
          <w:color w:val="6E6158"/>
        </w:rPr>
        <w:t>2021 2006 Leading Lawyers, Phoenix Business Journal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63600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896pt;width:1.65pt;height:1.65pt;mso-position-horizontal-relative:page;mso-position-vertical-relative:paragraph;z-index:15742464" id="docshape3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ATHENA</w:t>
      </w:r>
      <w:r>
        <w:rPr>
          <w:color w:val="6E6158"/>
          <w:spacing w:val="10"/>
        </w:rPr>
        <w:t> </w:t>
      </w:r>
      <w:r>
        <w:rPr>
          <w:color w:val="6E6158"/>
        </w:rPr>
        <w:t>Award</w:t>
      </w:r>
      <w:r>
        <w:rPr>
          <w:color w:val="6E6158"/>
          <w:spacing w:val="10"/>
        </w:rPr>
        <w:t> </w:t>
      </w:r>
      <w:r>
        <w:rPr>
          <w:color w:val="6E6158"/>
        </w:rPr>
        <w:t>Finalist,</w:t>
      </w:r>
      <w:r>
        <w:rPr>
          <w:color w:val="6E6158"/>
          <w:spacing w:val="10"/>
        </w:rPr>
        <w:t> </w: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1997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6"/>
        </w:rPr>
        <w:t> </w:t>
      </w:r>
      <w:r>
        <w:rPr>
          <w:color w:val="FF8100"/>
        </w:rPr>
        <w:t>&amp;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157811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141pt;width:1.65pt;height:1.65pt;mso-position-horizontal-relative:page;mso-position-vertical-relative:paragraph;z-index:15742976" id="docshape33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Program,</w:t>
      </w:r>
      <w:r>
        <w:rPr>
          <w:color w:val="6E6158"/>
          <w:spacing w:val="14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Institute,</w:t>
      </w:r>
      <w:r>
        <w:rPr>
          <w:color w:val="6E6158"/>
          <w:spacing w:val="15"/>
        </w:rPr>
        <w:t> </w:t>
      </w:r>
      <w:r>
        <w:rPr>
          <w:color w:val="6E6158"/>
        </w:rPr>
        <w:t>December</w:t>
      </w:r>
      <w:r>
        <w:rPr>
          <w:color w:val="6E6158"/>
          <w:spacing w:val="14"/>
        </w:rPr>
        <w:t> </w:t>
      </w:r>
      <w:r>
        <w:rPr>
          <w:color w:val="6E6158"/>
        </w:rPr>
        <w:t>17,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174906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184pt;width:1.65pt;height:1.65pt;mso-position-horizontal-relative:page;mso-position-vertical-relative:paragraph;z-index:15743488" id="docshape3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“How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Leverage</w:t>
      </w:r>
      <w:r>
        <w:rPr>
          <w:color w:val="6E6158"/>
          <w:spacing w:val="11"/>
        </w:rPr>
        <w:t> </w:t>
      </w:r>
      <w:r>
        <w:rPr>
          <w:color w:val="6E6158"/>
        </w:rPr>
        <w:t>Restructuring</w:t>
      </w:r>
      <w:r>
        <w:rPr>
          <w:color w:val="6E6158"/>
          <w:spacing w:val="10"/>
        </w:rPr>
        <w:t> </w:t>
      </w:r>
      <w:r>
        <w:rPr>
          <w:color w:val="6E6158"/>
        </w:rPr>
        <w:t>Laws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Improve</w:t>
      </w:r>
      <w:r>
        <w:rPr>
          <w:color w:val="6E6158"/>
          <w:spacing w:val="11"/>
        </w:rPr>
        <w:t> </w:t>
      </w:r>
      <w:r>
        <w:rPr>
          <w:color w:val="6E6158"/>
        </w:rPr>
        <w:t>Cash</w:t>
      </w:r>
      <w:r>
        <w:rPr>
          <w:color w:val="6E6158"/>
          <w:spacing w:val="10"/>
        </w:rPr>
        <w:t> </w:t>
      </w:r>
      <w:r>
        <w:rPr>
          <w:color w:val="6E6158"/>
        </w:rPr>
        <w:t>Flow”,</w:t>
      </w:r>
      <w:r>
        <w:rPr>
          <w:color w:val="6E6158"/>
          <w:spacing w:val="10"/>
        </w:rPr>
        <w:t> </w:t>
      </w:r>
      <w:r>
        <w:rPr>
          <w:color w:val="6E6158"/>
        </w:rPr>
        <w:t>Zuber</w:t>
      </w:r>
      <w:r>
        <w:rPr>
          <w:color w:val="6E6158"/>
          <w:spacing w:val="11"/>
        </w:rPr>
        <w:t> </w:t>
      </w:r>
      <w:r>
        <w:rPr>
          <w:color w:val="6E6158"/>
        </w:rPr>
        <w:t>Lawler,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2024.</w:t>
      </w:r>
    </w:p>
    <w:p>
      <w:pPr>
        <w:pStyle w:val="BodyText"/>
        <w:spacing w:line="292" w:lineRule="auto" w:before="174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262788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1978pt;width:1.65pt;height:1.65pt;mso-position-horizontal-relative:page;mso-position-vertical-relative:paragraph;z-index:15744000" id="docshape35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“Insights About Transitioning from Medical to Adult Use Cannabis Programs”, Ohio </w:t>
      </w:r>
      <w:r>
        <w:rPr>
          <w:color w:val="6E6158"/>
        </w:rPr>
        <w:t>Cannabis Health &amp; Business Summit, July 2024.</w:t>
      </w:r>
    </w:p>
    <w:p>
      <w:pPr>
        <w:pStyle w:val="BodyText"/>
      </w:pPr>
      <w:r>
        <w:rPr>
          <w:color w:val="6E6158"/>
        </w:rPr>
        <w:t>“Cannarestructuring:</w:t>
      </w:r>
      <w:r>
        <w:rPr>
          <w:color w:val="6E6158"/>
          <w:spacing w:val="19"/>
        </w:rPr>
        <w:t> </w:t>
      </w:r>
      <w:r>
        <w:rPr>
          <w:color w:val="6E6158"/>
        </w:rPr>
        <w:t>Business</w:t>
      </w:r>
      <w:r>
        <w:rPr>
          <w:color w:val="6E6158"/>
          <w:spacing w:val="20"/>
        </w:rPr>
        <w:t> </w:t>
      </w:r>
      <w:r>
        <w:rPr>
          <w:color w:val="6E6158"/>
        </w:rPr>
        <w:t>Restructuring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Anticipation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Cannabis</w:t>
      </w:r>
      <w:r>
        <w:rPr>
          <w:color w:val="6E6158"/>
          <w:spacing w:val="20"/>
        </w:rPr>
        <w:t> </w:t>
      </w:r>
      <w:r>
        <w:rPr>
          <w:color w:val="6E6158"/>
        </w:rPr>
        <w:t>Rescheduling”</w:t>
      </w:r>
      <w:r>
        <w:rPr>
          <w:color w:val="6E6158"/>
          <w:spacing w:val="20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97561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1996pt;width:1.65pt;height:1.65pt;mso-position-horizontal-relative:page;mso-position-vertical-relative:paragraph;z-index:15744512" id="docshape36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“Expert Testimony on DEA Marijuana Rescheduling Proposal Delayed”, November 2024, </w:t>
      </w:r>
      <w:r>
        <w:rPr>
          <w:color w:val="6E6158"/>
        </w:rPr>
        <w:t>Zuber </w:t>
      </w:r>
      <w:r>
        <w:rPr>
          <w:color w:val="6E6158"/>
          <w:spacing w:val="-2"/>
        </w:rPr>
        <w:t>Lawler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142911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846pt;width:1.65pt;height:1.65pt;mso-position-horizontal-relative:page;mso-position-vertical-relative:paragraph;z-index:15745024" id="docshape3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“Rescheduling’s</w:t>
      </w:r>
      <w:r>
        <w:rPr>
          <w:color w:val="6E6158"/>
          <w:spacing w:val="18"/>
        </w:rPr>
        <w:t> </w:t>
      </w:r>
      <w:r>
        <w:rPr>
          <w:color w:val="6E6158"/>
        </w:rPr>
        <w:t>Effects</w:t>
      </w:r>
      <w:r>
        <w:rPr>
          <w:color w:val="6E6158"/>
          <w:spacing w:val="19"/>
        </w:rPr>
        <w:t> </w:t>
      </w:r>
      <w:r>
        <w:rPr>
          <w:color w:val="6E6158"/>
        </w:rPr>
        <w:t>Upon</w:t>
      </w:r>
      <w:r>
        <w:rPr>
          <w:color w:val="6E6158"/>
          <w:spacing w:val="19"/>
        </w:rPr>
        <w:t> </w: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</w:rPr>
        <w:t>Capital”,</w:t>
      </w:r>
      <w:r>
        <w:rPr>
          <w:color w:val="6E6158"/>
          <w:spacing w:val="19"/>
        </w:rPr>
        <w:t> </w:t>
      </w:r>
      <w:r>
        <w:rPr>
          <w:color w:val="6E6158"/>
        </w:rPr>
        <w:t>September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268257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2639pt;width:1.65pt;height:1.65pt;mso-position-horizontal-relative:page;mso-position-vertical-relative:paragraph;z-index:15745536" id="docshape38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“Cannaployment: The Rise Of Cannabis Employment Class Actions and How To Protect Your Business”, September 2024</w:t>
      </w:r>
    </w:p>
    <w:p>
      <w:pPr>
        <w:pStyle w:val="BodyText"/>
        <w:spacing w:line="292" w:lineRule="auto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230969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6611pt;width:1.65pt;height:1.65pt;mso-position-horizontal-relative:page;mso-position-vertical-relative:paragraph;z-index:15746048" id="docshape39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“From Seed to Sale: What Vertical Integration Could Mean for Ohio Cannabis </w:t>
      </w:r>
      <w:r>
        <w:rPr>
          <w:color w:val="6E6158"/>
        </w:rPr>
        <w:t>Companies”, interview by Doug Guth/Ideastream Public Media, June 2024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143303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71pt;width:1.65pt;height:1.65pt;mso-position-horizontal-relative:page;mso-position-vertical-relative:paragraph;z-index:15746560" id="docshape40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“Rescheduling</w:t>
      </w:r>
      <w:r>
        <w:rPr>
          <w:color w:val="6E6158"/>
          <w:spacing w:val="14"/>
        </w:rPr>
        <w:t> </w:t>
      </w:r>
      <w:r>
        <w:rPr>
          <w:color w:val="6E6158"/>
        </w:rPr>
        <w:t>Cannabis:</w:t>
      </w:r>
      <w:r>
        <w:rPr>
          <w:color w:val="6E6158"/>
          <w:spacing w:val="14"/>
        </w:rPr>
        <w:t> </w:t>
      </w:r>
      <w:r>
        <w:rPr>
          <w:color w:val="6E6158"/>
        </w:rPr>
        <w:t>Rainbow</w:t>
      </w:r>
      <w:r>
        <w:rPr>
          <w:color w:val="6E6158"/>
          <w:spacing w:val="15"/>
        </w:rPr>
        <w:t> </w:t>
      </w:r>
      <w:r>
        <w:rPr>
          <w:color w:val="6E6158"/>
        </w:rPr>
        <w:t>or</w:t>
      </w:r>
      <w:r>
        <w:rPr>
          <w:color w:val="6E6158"/>
          <w:spacing w:val="14"/>
        </w:rPr>
        <w:t> </w:t>
      </w:r>
      <w:r>
        <w:rPr>
          <w:color w:val="6E6158"/>
        </w:rPr>
        <w:t>Tornado?”,</w:t>
      </w:r>
      <w:r>
        <w:rPr>
          <w:color w:val="6E6158"/>
          <w:spacing w:val="15"/>
        </w:rPr>
        <w:t> </w:t>
      </w:r>
      <w:r>
        <w:rPr>
          <w:color w:val="6E6158"/>
        </w:rPr>
        <w:t>May</w:t>
      </w:r>
      <w:r>
        <w:rPr>
          <w:color w:val="6E6158"/>
          <w:spacing w:val="14"/>
        </w:rPr>
        <w:t> </w:t>
      </w:r>
      <w:r>
        <w:rPr>
          <w:color w:val="6E6158"/>
        </w:rPr>
        <w:t>2024,</w:t>
      </w:r>
      <w:r>
        <w:rPr>
          <w:color w:val="6E6158"/>
          <w:spacing w:val="15"/>
        </w:rPr>
        <w:t> </w:t>
      </w:r>
      <w:r>
        <w:rPr>
          <w:color w:val="6E6158"/>
        </w:rPr>
        <w:t>Zuber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Lawler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262934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3497pt;width:1.65pt;height:1.65pt;mso-position-horizontal-relative:page;mso-position-vertical-relative:paragraph;z-index:15747072" id="docshape41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“Surviving the Storm or Strategies for Cannabis Companies Amidst Capital </w:t>
      </w:r>
      <w:r>
        <w:rPr>
          <w:color w:val="6E6158"/>
        </w:rPr>
        <w:t>Constraints”, Benzinga, October 2023.</w:t>
      </w:r>
    </w:p>
    <w:p>
      <w:pPr>
        <w:pStyle w:val="BodyText"/>
        <w:spacing w:line="302" w:lineRule="auto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235894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35pt;width:1.65pt;height:1.65pt;mso-position-horizontal-relative:page;mso-position-vertical-relative:paragraph;z-index:15747584" id="docshape4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“Regulatory Data vs. Business Intelligence Data to Support Compliance”, Payment, </w:t>
      </w:r>
      <w:r>
        <w:rPr>
          <w:color w:val="6E6158"/>
        </w:rPr>
        <w:t>Banking</w:t>
      </w:r>
      <w:r>
        <w:rPr>
          <w:color w:val="6E6158"/>
          <w:spacing w:val="40"/>
        </w:rPr>
        <w:t> </w:t>
      </w:r>
      <w:r>
        <w:rPr>
          <w:color w:val="6E6158"/>
        </w:rPr>
        <w:t>and Compliance Cannabis Conference, September 2023.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224237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6517pt;width:1.65pt;height:1.65pt;mso-position-horizontal-relative:page;mso-position-vertical-relative:paragraph;z-index:15748096" id="docshape4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“Renegotiations In A Distressed Cannabis Marketplace – Shedding Pounds, Getting Fit”, </w:t>
      </w:r>
      <w:r>
        <w:rPr>
          <w:color w:val="6E6158"/>
        </w:rPr>
        <w:t>June</w:t>
      </w:r>
      <w:r>
        <w:rPr>
          <w:color w:val="6E6158"/>
          <w:spacing w:val="40"/>
        </w:rPr>
        <w:t> </w:t>
      </w:r>
      <w:r>
        <w:rPr>
          <w:color w:val="6E6158"/>
        </w:rPr>
        <w:t>2023, State Bar Of Arizona – Bar Convention</w:t>
      </w:r>
    </w:p>
    <w:p>
      <w:pPr>
        <w:pStyle w:val="BodyText"/>
        <w:spacing w:line="302" w:lineRule="auto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235932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7347pt;width:1.65pt;height:1.65pt;mso-position-horizontal-relative:page;mso-position-vertical-relative:paragraph;z-index:15748608" id="docshape44" coordorigin="1675,372" coordsize="33,33" path="m1696,404l1687,404,1683,403,1676,396,1675,392,1675,383,1676,379,1683,373,1687,372,1696,372,1699,373,1706,379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“State Court Cannabis Receiverships”, October 2022, National Association Of </w:t>
      </w:r>
      <w:r>
        <w:rPr>
          <w:color w:val="6E6158"/>
        </w:rPr>
        <w:t>Cannabis Accountants And Tax Professionals</w:t>
      </w:r>
    </w:p>
    <w:p>
      <w:pPr>
        <w:pStyle w:val="BodyText"/>
        <w:spacing w:line="292" w:lineRule="auto" w:before="113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224275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9513pt;width:1.65pt;height:1.65pt;mso-position-horizontal-relative:page;mso-position-vertical-relative:paragraph;z-index:15749120" id="docshape4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“Are Financial Institutions Banking/Lending To Cannabis Businesses? Yes, Lending Is The </w:t>
      </w:r>
      <w:r>
        <w:rPr>
          <w:color w:val="6E6158"/>
        </w:rPr>
        <w:t>Hottest Commodity!”, June 2022, State Bar Of Arizona – Bar Convention</w:t>
      </w:r>
    </w:p>
    <w:p>
      <w:pPr>
        <w:pStyle w:val="BodyText"/>
        <w:spacing w:line="292" w:lineRule="auto" w:before="131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235970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366pt;width:1.65pt;height:1.65pt;mso-position-horizontal-relative:page;mso-position-vertical-relative:paragraph;z-index:15749632" id="docshape4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</w:t>
      </w:r>
      <w:hyperlink r:id="rId11">
        <w:r>
          <w:rPr>
            <w:color w:val="F5821F"/>
          </w:rPr>
          <w:t>How To Apply For A U.S. Cannabis License</w:t>
        </w:r>
      </w:hyperlink>
      <w:r>
        <w:rPr>
          <w:color w:val="6E6158"/>
        </w:rPr>
        <w:t>”, October 2022, Cannamexico World </w:t>
      </w:r>
      <w:r>
        <w:rPr>
          <w:color w:val="6E6158"/>
        </w:rPr>
        <w:t>Summit, Guanajuato, Mexico, Centro Fox</w:t>
      </w:r>
    </w:p>
    <w:p>
      <w:pPr>
        <w:pStyle w:val="BodyText"/>
        <w:spacing w:line="292" w:lineRule="auto" w:before="124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231067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324pt;width:1.65pt;height:1.65pt;mso-position-horizontal-relative:page;mso-position-vertical-relative:paragraph;z-index:15750144" id="docshape47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 With President Vicente Fox (Former President Of Mexico)</w:t>
        </w:r>
      </w:hyperlink>
      <w:r>
        <w:rPr>
          <w:color w:val="6E6158"/>
        </w:rPr>
        <w:t>, May 2022, Global</w:t>
      </w:r>
      <w:r>
        <w:rPr>
          <w:color w:val="6E6158"/>
          <w:spacing w:val="40"/>
        </w:rPr>
        <w:t> </w:t>
      </w:r>
      <w:r>
        <w:rPr>
          <w:color w:val="6E6158"/>
        </w:rPr>
        <w:t>Cannabis Times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142766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435pt;width:1.65pt;height:1.65pt;mso-position-horizontal-relative:page;mso-position-vertical-relative:paragraph;z-index:15750656" id="docshape4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“Cleantech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Cannabis:</w:t>
      </w:r>
      <w:r>
        <w:rPr>
          <w:color w:val="6E6158"/>
          <w:spacing w:val="14"/>
        </w:rPr>
        <w:t> </w:t>
      </w:r>
      <w:r>
        <w:rPr>
          <w:color w:val="6E6158"/>
        </w:rPr>
        <w:t>What’s</w:t>
      </w:r>
      <w:r>
        <w:rPr>
          <w:color w:val="6E6158"/>
          <w:spacing w:val="14"/>
        </w:rPr>
        <w:t> </w:t>
      </w:r>
      <w:r>
        <w:rPr>
          <w:color w:val="6E6158"/>
        </w:rPr>
        <w:t>New?</w:t>
      </w:r>
      <w:r>
        <w:rPr>
          <w:color w:val="6E6158"/>
          <w:spacing w:val="14"/>
        </w:rPr>
        <w:t> </w:t>
      </w:r>
      <w:r>
        <w:rPr>
          <w:color w:val="6E6158"/>
        </w:rPr>
        <w:t>What’s</w:t>
      </w:r>
      <w:r>
        <w:rPr>
          <w:color w:val="6E6158"/>
          <w:spacing w:val="15"/>
        </w:rPr>
        <w:t> </w:t>
      </w:r>
      <w:r>
        <w:rPr>
          <w:color w:val="6E6158"/>
        </w:rPr>
        <w:t>Next”,</w:t>
      </w:r>
      <w:r>
        <w:rPr>
          <w:color w:val="6E6158"/>
          <w:spacing w:val="14"/>
        </w:rPr>
        <w:t> </w:t>
      </w:r>
      <w:r>
        <w:rPr>
          <w:color w:val="6E6158"/>
        </w:rPr>
        <w:t>March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174" w:after="7"/>
      </w:pPr>
      <w:r>
        <w:rPr>
          <w:color w:val="6E6158"/>
        </w:rPr>
        <w:t>“Arizona</w:t>
      </w:r>
      <w:r>
        <w:rPr>
          <w:color w:val="6E6158"/>
          <w:spacing w:val="10"/>
        </w:rPr>
        <w:t> </w:t>
      </w:r>
      <w:r>
        <w:rPr>
          <w:color w:val="6E6158"/>
        </w:rPr>
        <w:t>Dispensary</w:t>
      </w:r>
      <w:r>
        <w:rPr>
          <w:color w:val="6E6158"/>
          <w:spacing w:val="10"/>
        </w:rPr>
        <w:t> </w:t>
      </w:r>
      <w:r>
        <w:rPr>
          <w:color w:val="6E6158"/>
        </w:rPr>
        <w:t>M&amp;A</w:t>
      </w:r>
      <w:r>
        <w:rPr>
          <w:color w:val="6E6158"/>
          <w:spacing w:val="11"/>
        </w:rPr>
        <w:t> </w:t>
      </w:r>
      <w:r>
        <w:rPr>
          <w:color w:val="6E6158"/>
        </w:rPr>
        <w:t>Transactions:</w:t>
      </w:r>
      <w:r>
        <w:rPr>
          <w:color w:val="6E6158"/>
          <w:spacing w:val="10"/>
        </w:rPr>
        <w:t> </w:t>
      </w:r>
      <w:r>
        <w:rPr>
          <w:color w:val="6E6158"/>
        </w:rPr>
        <w:t>Not</w:t>
      </w:r>
      <w:r>
        <w:rPr>
          <w:color w:val="6E6158"/>
          <w:spacing w:val="10"/>
        </w:rPr>
        <w:t> </w:t>
      </w:r>
      <w:r>
        <w:rPr>
          <w:color w:val="6E6158"/>
        </w:rPr>
        <w:t>Your</w:t>
      </w:r>
      <w:r>
        <w:rPr>
          <w:color w:val="6E6158"/>
          <w:spacing w:val="11"/>
        </w:rPr>
        <w:t> </w:t>
      </w:r>
      <w:r>
        <w:rPr>
          <w:color w:val="6E6158"/>
        </w:rPr>
        <w:t>Typical</w:t>
      </w:r>
      <w:r>
        <w:rPr>
          <w:color w:val="6E6158"/>
          <w:spacing w:val="10"/>
        </w:rPr>
        <w:t> </w:t>
      </w:r>
      <w:r>
        <w:rPr>
          <w:color w:val="6E6158"/>
        </w:rPr>
        <w:t>M&amp;A,”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Arizona,</w:t>
      </w:r>
    </w:p>
    <w:p>
      <w:pPr>
        <w:pStyle w:val="BodyText"/>
        <w:spacing w:line="32" w:lineRule="exact" w:before="0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9" coordorigin="0,0" coordsize="33,33">
                <v:shape style="position:absolute;left:0;top:0;width:33;height:33" id="docshape50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December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51168" id="docshape51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“Learning to Leverage: Strategies and Practices in Lease Renegotiations,” West </w:t>
      </w:r>
      <w:r>
        <w:rPr>
          <w:color w:val="6E6158"/>
        </w:rPr>
        <w:t>Valley Commercial Real Estate Group, March 2020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136637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8843pt;width:1.65pt;height:1.65pt;mso-position-horizontal-relative:page;mso-position-vertical-relative:paragraph;z-index:15751680" id="docshape52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“‘Buying’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Medical</w:t>
      </w:r>
      <w:r>
        <w:rPr>
          <w:color w:val="6E6158"/>
          <w:spacing w:val="12"/>
        </w:rPr>
        <w:t> </w:t>
      </w:r>
      <w:r>
        <w:rPr>
          <w:color w:val="6E6158"/>
        </w:rPr>
        <w:t>Marijuana</w:t>
      </w:r>
      <w:r>
        <w:rPr>
          <w:color w:val="6E6158"/>
          <w:spacing w:val="13"/>
        </w:rPr>
        <w:t> </w:t>
      </w:r>
      <w:r>
        <w:rPr>
          <w:color w:val="6E6158"/>
        </w:rPr>
        <w:t>Dispensary:</w:t>
      </w:r>
      <w:r>
        <w:rPr>
          <w:color w:val="6E6158"/>
          <w:spacing w:val="12"/>
        </w:rPr>
        <w:t> </w:t>
      </w:r>
      <w:r>
        <w:rPr>
          <w:color w:val="6E6158"/>
        </w:rPr>
        <w:t>Not</w:t>
      </w:r>
      <w:r>
        <w:rPr>
          <w:color w:val="6E6158"/>
          <w:spacing w:val="13"/>
        </w:rPr>
        <w:t> </w:t>
      </w:r>
      <w:r>
        <w:rPr>
          <w:color w:val="6E6158"/>
        </w:rPr>
        <w:t>Your</w:t>
      </w:r>
      <w:r>
        <w:rPr>
          <w:color w:val="6E6158"/>
          <w:spacing w:val="12"/>
        </w:rPr>
        <w:t> </w:t>
      </w:r>
      <w:r>
        <w:rPr>
          <w:color w:val="6E6158"/>
        </w:rPr>
        <w:t>Typical</w:t>
      </w:r>
      <w:r>
        <w:rPr>
          <w:color w:val="6E6158"/>
          <w:spacing w:val="13"/>
        </w:rPr>
        <w:t> </w:t>
      </w:r>
      <w:r>
        <w:rPr>
          <w:color w:val="6E6158"/>
        </w:rPr>
        <w:t>M&amp;A,”</w:t>
      </w:r>
      <w:r>
        <w:rPr>
          <w:color w:val="6E6158"/>
          <w:spacing w:val="12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2192" id="docshape53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“Legal Cannabis and the Health Care Industry,” Meritas US/Canada Healthcare </w:t>
      </w:r>
      <w:r>
        <w:rPr>
          <w:color w:val="6E6158"/>
        </w:rPr>
        <w:t>and Marijuana/Cannabis Law Groups, November 2019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2704" id="docshape5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“Opportunities and Challenges with Cannabis,” Fall Meeting, Meritas Litigation and Labor </w:t>
      </w:r>
      <w:r>
        <w:rPr>
          <w:color w:val="6E6158"/>
        </w:rPr>
        <w:t>&amp;</w:t>
      </w:r>
      <w:r>
        <w:rPr>
          <w:color w:val="6E6158"/>
          <w:spacing w:val="40"/>
        </w:rPr>
        <w:t> </w:t>
      </w:r>
      <w:r>
        <w:rPr>
          <w:color w:val="6E6158"/>
        </w:rPr>
        <w:t>Employment Practice Groups, October 2019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142810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898pt;width:1.65pt;height:1.65pt;mso-position-horizontal-relative:page;mso-position-vertical-relative:paragraph;z-index:15753216" id="docshape55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“Cannabis</w:t>
      </w:r>
      <w:r>
        <w:rPr>
          <w:color w:val="6E6158"/>
          <w:spacing w:val="13"/>
        </w:rPr>
        <w:t> </w:t>
      </w:r>
      <w:r>
        <w:rPr>
          <w:color w:val="6E6158"/>
        </w:rPr>
        <w:t>Developments</w:t>
      </w:r>
      <w:r>
        <w:rPr>
          <w:color w:val="6E6158"/>
          <w:spacing w:val="13"/>
        </w:rPr>
        <w:t> </w:t>
      </w:r>
      <w:r>
        <w:rPr>
          <w:color w:val="6E6158"/>
        </w:rPr>
        <w:t>Keep</w:t>
      </w:r>
      <w:r>
        <w:rPr>
          <w:color w:val="6E6158"/>
          <w:spacing w:val="13"/>
        </w:rPr>
        <w:t> </w:t>
      </w:r>
      <w:r>
        <w:rPr>
          <w:color w:val="6E6158"/>
        </w:rPr>
        <w:t>Coming,”</w:t>
      </w:r>
      <w:r>
        <w:rPr>
          <w:color w:val="6E6158"/>
          <w:spacing w:val="13"/>
        </w:rPr>
        <w:t> </w:t>
      </w:r>
      <w:r>
        <w:rPr>
          <w:color w:val="6E6158"/>
        </w:rPr>
        <w:t>Zuber</w:t>
      </w:r>
      <w:r>
        <w:rPr>
          <w:color w:val="6E6158"/>
          <w:spacing w:val="13"/>
        </w:rPr>
        <w:t> </w:t>
      </w:r>
      <w:r>
        <w:rPr>
          <w:color w:val="6E6158"/>
        </w:rPr>
        <w:t>Lawler,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30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268156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693pt;width:1.65pt;height:1.65pt;mso-position-horizontal-relative:page;mso-position-vertical-relative:paragraph;z-index:15753728" id="docshape56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“Arizona Supreme Court: Arizona Medical Marijuana Act (AMMA) Protects Possession </w:t>
      </w:r>
      <w:r>
        <w:rPr>
          <w:color w:val="6E6158"/>
        </w:rPr>
        <w:t>of Marijuana Extracts,” Sacks Tierney, May 2019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224114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849pt;width:1.65pt;height:1.65pt;mso-position-horizontal-relative:page;mso-position-vertical-relative:paragraph;z-index:15754240" id="docshape57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“Decriminalization of Hemp Raises New Opportunities in Agriculture, Medicine, </w:t>
      </w:r>
      <w:r>
        <w:rPr>
          <w:color w:val="6E6158"/>
        </w:rPr>
        <w:t>Fibers/Textiles and Biofuels,” Sacks Tierney, January 2019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235809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698pt;width:1.65pt;height:1.65pt;mso-position-horizontal-relative:page;mso-position-vertical-relative:paragraph;z-index:15754752" id="docshape5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“’What’s in Those Brownies’: Commercial Real Estate and the Developing Medical </w:t>
      </w:r>
      <w:r>
        <w:rPr>
          <w:color w:val="6E6158"/>
        </w:rPr>
        <w:t>Marijuana</w:t>
      </w:r>
      <w:r>
        <w:rPr>
          <w:color w:val="6E6158"/>
          <w:spacing w:val="40"/>
        </w:rPr>
        <w:t> </w:t>
      </w:r>
      <w:r>
        <w:rPr>
          <w:color w:val="6E6158"/>
        </w:rPr>
        <w:t>Marketplace,” September 2018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136308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298pt;width:1.65pt;height:1.65pt;mso-position-horizontal-relative:page;mso-position-vertical-relative:paragraph;z-index:15755264" id="docshape59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“Court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Appeals:</w:t>
      </w:r>
      <w:r>
        <w:rPr>
          <w:color w:val="6E6158"/>
          <w:spacing w:val="13"/>
        </w:rPr>
        <w:t> </w:t>
      </w:r>
      <w:r>
        <w:rPr>
          <w:color w:val="6E6158"/>
        </w:rPr>
        <w:t>Hashish</w:t>
      </w:r>
      <w:r>
        <w:rPr>
          <w:color w:val="6E6158"/>
          <w:spacing w:val="13"/>
        </w:rPr>
        <w:t> </w:t>
      </w:r>
      <w:r>
        <w:rPr>
          <w:color w:val="6E6158"/>
        </w:rPr>
        <w:t>Possession</w:t>
      </w:r>
      <w:r>
        <w:rPr>
          <w:color w:val="6E6158"/>
          <w:spacing w:val="13"/>
        </w:rPr>
        <w:t> </w:t>
      </w:r>
      <w:r>
        <w:rPr>
          <w:color w:val="6E6158"/>
        </w:rPr>
        <w:t>Not</w:t>
      </w:r>
      <w:r>
        <w:rPr>
          <w:color w:val="6E6158"/>
          <w:spacing w:val="13"/>
        </w:rPr>
        <w:t> </w:t>
      </w:r>
      <w:r>
        <w:rPr>
          <w:color w:val="6E6158"/>
        </w:rPr>
        <w:t>Protected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AMMA,”</w:t>
      </w:r>
      <w:r>
        <w:rPr>
          <w:color w:val="6E6158"/>
          <w:spacing w:val="13"/>
        </w:rPr>
        <w:t> </w:t>
      </w:r>
      <w:r>
        <w:rPr>
          <w:color w:val="6E6158"/>
        </w:rPr>
        <w:t>Sacks</w:t>
      </w:r>
      <w:r>
        <w:rPr>
          <w:color w:val="6E6158"/>
          <w:spacing w:val="13"/>
        </w:rPr>
        <w:t> </w:t>
      </w:r>
      <w:r>
        <w:rPr>
          <w:color w:val="6E6158"/>
        </w:rPr>
        <w:t>Tierney,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262837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5896pt;width:1.65pt;height:1.65pt;mso-position-horizontal-relative:page;mso-position-vertical-relative:paragraph;z-index:15755776" id="docshape60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“Strategies and Practices in Lease Renegotiations: Learning to Leverage,” West </w:t>
      </w:r>
      <w:r>
        <w:rPr>
          <w:color w:val="6E6158"/>
        </w:rPr>
        <w:t>Valley Commercial Real Estate Group, Sacks Tierney, May 2018</w:t>
      </w:r>
    </w:p>
    <w:p>
      <w:pPr>
        <w:pStyle w:val="BodyText"/>
        <w:spacing w:line="292" w:lineRule="auto" w:before="131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235797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746pt;width:1.65pt;height:1.65pt;mso-position-horizontal-relative:page;mso-position-vertical-relative:paragraph;z-index:15756288" id="docshape6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“Trump Agreement with Colorado Senator a Positive Sign for the Cannabis Industry,” </w:t>
      </w:r>
      <w:r>
        <w:rPr>
          <w:color w:val="6E6158"/>
        </w:rPr>
        <w:t>Sacks Tierney, April 2018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236062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593pt;width:1.65pt;height:1.65pt;mso-position-horizontal-relative:page;mso-position-vertical-relative:paragraph;z-index:15756800" id="docshape6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“Due Diligence ‘Best Practices’ in Real Estate Transactions,” Maricopa County, Arizona, </w:t>
      </w:r>
      <w:r>
        <w:rPr>
          <w:color w:val="6E6158"/>
        </w:rPr>
        <w:t>Bar Association, April 2018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224405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9752pt;width:1.65pt;height:1.65pt;mso-position-horizontal-relative:page;mso-position-vertical-relative:paragraph;z-index:15757312" id="docshape63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“Fundamentals of Corporate Real Estate – CoRE – Facility Management and </w:t>
      </w:r>
      <w:r>
        <w:rPr>
          <w:color w:val="6E6158"/>
        </w:rPr>
        <w:t>Sustainability,”</w:t>
      </w:r>
      <w:r>
        <w:rPr>
          <w:color w:val="6E6158"/>
          <w:spacing w:val="40"/>
        </w:rPr>
        <w:t> </w:t>
      </w:r>
      <w:r>
        <w:rPr>
          <w:color w:val="6E6158"/>
        </w:rPr>
        <w:t>Real Estate Club, W.P. Carey School of Business, Arizona State University, January 2018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157601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581pt;width:1.65pt;height:1.65pt;mso-position-horizontal-relative:page;mso-position-vertical-relative:paragraph;z-index:15757824" id="docshape6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Chair-elect,</w:t>
      </w:r>
      <w:r>
        <w:rPr>
          <w:color w:val="6E6158"/>
          <w:spacing w:val="16"/>
        </w:rPr>
        <w:t> </w:t>
      </w:r>
      <w:r>
        <w:rPr>
          <w:color w:val="6E6158"/>
        </w:rPr>
        <w:t>In-House</w:t>
      </w:r>
      <w:r>
        <w:rPr>
          <w:color w:val="6E6158"/>
          <w:spacing w:val="19"/>
        </w:rPr>
        <w:t> </w:t>
      </w:r>
      <w:r>
        <w:rPr>
          <w:color w:val="6E6158"/>
        </w:rPr>
        <w:t>Counsel</w:t>
      </w:r>
      <w:r>
        <w:rPr>
          <w:color w:val="6E6158"/>
          <w:spacing w:val="19"/>
        </w:rPr>
        <w:t> </w:t>
      </w:r>
      <w:r>
        <w:rPr>
          <w:color w:val="6E6158"/>
        </w:rPr>
        <w:t>Section/Executive</w:t>
      </w:r>
      <w:r>
        <w:rPr>
          <w:color w:val="6E6158"/>
          <w:spacing w:val="19"/>
        </w:rPr>
        <w:t> </w:t>
      </w:r>
      <w:r>
        <w:rPr>
          <w:color w:val="6E6158"/>
        </w:rPr>
        <w:t>Counsel,</w:t>
      </w:r>
      <w:r>
        <w:rPr>
          <w:color w:val="6E6158"/>
          <w:spacing w:val="19"/>
        </w:rPr>
        <w:t> </w:t>
      </w:r>
      <w:r>
        <w:rPr>
          <w:color w:val="6E6158"/>
        </w:rPr>
        <w:t>Arizona</w:t>
      </w:r>
      <w:r>
        <w:rPr>
          <w:color w:val="6E6158"/>
          <w:spacing w:val="19"/>
        </w:rPr>
        <w:t> </w:t>
      </w:r>
      <w:r>
        <w:rPr>
          <w:color w:val="6E6158"/>
        </w:rPr>
        <w:t>Bar</w:t>
      </w:r>
      <w:r>
        <w:rPr>
          <w:color w:val="6E6158"/>
          <w:spacing w:val="19"/>
        </w:rPr>
        <w:t> </w:t>
      </w:r>
      <w:r>
        <w:rPr>
          <w:color w:val="6E6158"/>
        </w:rPr>
        <w:t>Association,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8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268343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387pt;width:1.65pt;height:1.65pt;mso-position-horizontal-relative:page;mso-position-vertical-relative:paragraph;z-index:15758336" id="docshape65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 Committee, National Organization for the Reform of Marijuana Laws (NORML), </w:t>
      </w:r>
      <w:r>
        <w:rPr>
          <w:color w:val="6E6158"/>
        </w:rPr>
        <w:t>2016-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Present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143211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474pt;width:1.65pt;height:1.65pt;mso-position-horizontal-relative:page;mso-position-vertical-relative:paragraph;z-index:15758848" id="docshape66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Secretary,</w:t>
      </w:r>
      <w:r>
        <w:rPr>
          <w:color w:val="6E6158"/>
          <w:spacing w:val="18"/>
        </w:rPr>
        <w:t> </w:t>
      </w:r>
      <w:r>
        <w:rPr>
          <w:color w:val="6E6158"/>
        </w:rPr>
        <w:t>Arizona</w:t>
      </w:r>
      <w:r>
        <w:rPr>
          <w:color w:val="6E6158"/>
          <w:spacing w:val="18"/>
        </w:rPr>
        <w:t> </w: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</w:rPr>
        <w:t>Bar</w:t>
      </w:r>
      <w:r>
        <w:rPr>
          <w:color w:val="6E6158"/>
          <w:spacing w:val="19"/>
        </w:rPr>
        <w:t> </w:t>
      </w:r>
      <w:r>
        <w:rPr>
          <w:color w:val="6E6158"/>
        </w:rPr>
        <w:t>Association,</w:t>
      </w:r>
      <w:r>
        <w:rPr>
          <w:color w:val="6E6158"/>
          <w:spacing w:val="18"/>
        </w:rPr>
        <w:t> </w:t>
      </w:r>
      <w:r>
        <w:rPr>
          <w:color w:val="6E6158"/>
        </w:rPr>
        <w:t>2016-</w:t>
      </w:r>
      <w:r>
        <w:rPr>
          <w:color w:val="6E6158"/>
          <w:spacing w:val="-2"/>
        </w:rPr>
        <w:t>Present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174910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511pt;width:1.65pt;height:1.65pt;mso-position-horizontal-relative:page;mso-position-vertical-relative:paragraph;z-index:15759360" id="docshape6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</w:t>
      </w:r>
      <w:r>
        <w:rPr>
          <w:color w:val="6E6158"/>
          <w:spacing w:val="14"/>
        </w:rPr>
        <w:t> </w:t>
      </w:r>
      <w:r>
        <w:rPr>
          <w:color w:val="6E6158"/>
        </w:rPr>
        <w:t>Meritas</w:t>
      </w:r>
      <w:r>
        <w:rPr>
          <w:color w:val="6E6158"/>
          <w:spacing w:val="14"/>
        </w:rPr>
        <w:t> </w:t>
      </w:r>
      <w:r>
        <w:rPr>
          <w:color w:val="6E6158"/>
        </w:rPr>
        <w:t>Cannabis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Steering</w:t>
      </w:r>
      <w:r>
        <w:rPr>
          <w:color w:val="6E6158"/>
          <w:spacing w:val="14"/>
        </w:rPr>
        <w:t> </w:t>
      </w:r>
      <w:r>
        <w:rPr>
          <w:color w:val="6E6158"/>
        </w:rPr>
        <w:t>Committee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North</w:t>
      </w:r>
      <w:r>
        <w:rPr>
          <w:color w:val="6E6158"/>
          <w:spacing w:val="15"/>
        </w:rPr>
        <w:t> </w:t>
      </w:r>
      <w:r>
        <w:rPr>
          <w:color w:val="6E6158"/>
        </w:rPr>
        <w:t>America,</w:t>
      </w:r>
      <w:r>
        <w:rPr>
          <w:color w:val="6E6158"/>
          <w:spacing w:val="14"/>
        </w:rPr>
        <w:t> </w:t>
      </w:r>
      <w:r>
        <w:rPr>
          <w:color w:val="6E6158"/>
        </w:rPr>
        <w:t>2018-</w:t>
      </w:r>
      <w:r>
        <w:rPr>
          <w:color w:val="6E6158"/>
          <w:spacing w:val="-4"/>
        </w:rPr>
        <w:t>2019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8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152419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535pt;width:1.65pt;height:1.65pt;mso-position-horizontal-relative:page;mso-position-vertical-relative:paragraph;z-index:15759872" id="docshape6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415952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151pt;width:1.65pt;height:1.65pt;mso-position-horizontal-relative:page;mso-position-vertical-relative:paragraph;z-index:15760384" id="docshape6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jackim@fennemorelaw.com" TargetMode="External"/><Relationship Id="rId11" Type="http://schemas.openxmlformats.org/officeDocument/2006/relationships/hyperlink" Target="https://bt.e-ditionsbyfry.com/publi-cation/?i=75921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2025-04-15T18:24:40Z</dcterms:created>
  <dcterms:modified xsi:type="dcterms:W3CDTF">2025-04-15T18:24:40Z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2025-04-15T00:00:00Z</vt:filetime>
  </property>
  <property fmtid="{D5CDD505-2E9C-101B-9397-08002B2CF9AE}" pid="5" name="Producer">
    <vt:lpwstr>Skia/PDF m117</vt:lpwstr>
  </property>
</Properties>
</file>