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629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9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697" w:right="695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RICHARD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A.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LYONS</w:t>
                              </w:r>
                            </w:p>
                            <w:p>
                              <w:pPr>
                                <w:spacing w:before="48"/>
                                <w:ind w:left="697" w:right="69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697" w:right="69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97" w:right="69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510.834.1928</w:t>
                              </w:r>
                            </w:p>
                            <w:p>
                              <w:pPr>
                                <w:spacing w:before="119"/>
                                <w:ind w:left="697" w:right="69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rlyons@fennemorelaw.com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9.05pt;mso-position-horizontal-relative:char;mso-position-vertical-relative:line" id="docshapegroup1" coordorigin="0,0" coordsize="9554,4981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57" type="#_x0000_t75" id="docshape3" stroked="false">
                  <v:imagedata r:id="rId7" o:title=""/>
                </v:shape>
                <v:rect style="position:absolute;left:4776;top:423;width:4777;height:4557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57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697" w:right="695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RICHARD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A.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LYONS</w:t>
                        </w:r>
                      </w:p>
                      <w:p>
                        <w:pPr>
                          <w:spacing w:before="48"/>
                          <w:ind w:left="697" w:right="69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697" w:right="69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697" w:right="697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510.834.1928</w:t>
                        </w:r>
                      </w:p>
                      <w:p>
                        <w:pPr>
                          <w:spacing w:before="119"/>
                          <w:ind w:left="697" w:right="697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rlyons@fennemorelaw.com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68"/>
      </w:pPr>
      <w:r>
        <w:rPr>
          <w:color w:val="FF8100"/>
        </w:rPr>
        <w:t>RICHARD</w:t>
      </w:r>
      <w:r>
        <w:rPr>
          <w:color w:val="FF8100"/>
          <w:spacing w:val="7"/>
        </w:rPr>
        <w:t> </w:t>
      </w:r>
      <w:r>
        <w:rPr>
          <w:color w:val="FF8100"/>
        </w:rPr>
        <w:t>A.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LYONS</w:t>
      </w:r>
    </w:p>
    <w:p>
      <w:pPr>
        <w:pStyle w:val="BodyText"/>
        <w:spacing w:line="302" w:lineRule="auto" w:before="147"/>
        <w:ind w:left="104" w:right="610"/>
      </w:pPr>
      <w:r>
        <w:rPr>
          <w:color w:val="6E6158"/>
        </w:rPr>
        <w:t>Richard is highly experienced in corporate, securities, and intellectual property (IP) law. He co-</w:t>
      </w:r>
      <w:r>
        <w:rPr>
          <w:color w:val="6E6158"/>
          <w:spacing w:val="40"/>
        </w:rPr>
        <w:t> </w:t>
      </w:r>
      <w:r>
        <w:rPr>
          <w:color w:val="6E6158"/>
        </w:rPr>
        <w:t>founded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firm’s</w:t>
      </w:r>
      <w:r>
        <w:rPr>
          <w:color w:val="6E6158"/>
          <w:spacing w:val="32"/>
        </w:rPr>
        <w:t> </w:t>
      </w:r>
      <w:r>
        <w:rPr>
          <w:color w:val="6E6158"/>
        </w:rPr>
        <w:t>intellectual</w:t>
      </w:r>
      <w:r>
        <w:rPr>
          <w:color w:val="6E6158"/>
          <w:spacing w:val="32"/>
        </w:rPr>
        <w:t> </w:t>
      </w:r>
      <w:r>
        <w:rPr>
          <w:color w:val="6E6158"/>
        </w:rPr>
        <w:t>property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green</w:t>
      </w:r>
      <w:r>
        <w:rPr>
          <w:color w:val="6E6158"/>
          <w:spacing w:val="32"/>
        </w:rPr>
        <w:t> </w:t>
      </w:r>
      <w:r>
        <w:rPr>
          <w:color w:val="6E6158"/>
        </w:rPr>
        <w:t>business</w:t>
      </w:r>
      <w:r>
        <w:rPr>
          <w:color w:val="6E6158"/>
          <w:spacing w:val="32"/>
        </w:rPr>
        <w:t> </w:t>
      </w:r>
      <w:r>
        <w:rPr>
          <w:color w:val="6E6158"/>
        </w:rPr>
        <w:t>practice</w:t>
      </w:r>
      <w:r>
        <w:rPr>
          <w:color w:val="6E6158"/>
          <w:spacing w:val="32"/>
        </w:rPr>
        <w:t> </w:t>
      </w:r>
      <w:r>
        <w:rPr>
          <w:color w:val="6E6158"/>
        </w:rPr>
        <w:t>groups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has</w:t>
      </w:r>
      <w:r>
        <w:rPr>
          <w:color w:val="6E6158"/>
          <w:spacing w:val="32"/>
        </w:rPr>
        <w:t> </w:t>
      </w:r>
      <w:r>
        <w:rPr>
          <w:color w:val="6E6158"/>
        </w:rPr>
        <w:t>deep</w:t>
      </w:r>
    </w:p>
    <w:p>
      <w:pPr>
        <w:pStyle w:val="BodyText"/>
        <w:spacing w:line="292" w:lineRule="auto"/>
        <w:ind w:left="104" w:right="610"/>
      </w:pPr>
      <w:r>
        <w:rPr>
          <w:color w:val="6E6158"/>
        </w:rPr>
        <w:t>insight in a broad range of business and legal matters. Richard is passionate about helping</w:t>
      </w:r>
      <w:r>
        <w:rPr>
          <w:color w:val="6E6158"/>
          <w:spacing w:val="40"/>
        </w:rPr>
        <w:t> </w:t>
      </w:r>
      <w:r>
        <w:rPr>
          <w:color w:val="6E6158"/>
        </w:rPr>
        <w:t>visionary companies meet their objectives.</w:t>
      </w:r>
    </w:p>
    <w:p>
      <w:pPr>
        <w:pStyle w:val="Heading2"/>
        <w:spacing w:before="187"/>
      </w:pPr>
      <w:r>
        <w:rPr>
          <w:color w:val="6E6158"/>
          <w:spacing w:val="-2"/>
        </w:rPr>
        <w:t>Corporate</w:t>
      </w:r>
    </w:p>
    <w:p>
      <w:pPr>
        <w:pStyle w:val="BodyText"/>
        <w:spacing w:line="295" w:lineRule="auto" w:before="60"/>
        <w:ind w:left="104" w:right="550"/>
      </w:pPr>
      <w:r>
        <w:rPr>
          <w:color w:val="6E6158"/>
        </w:rPr>
        <w:t>Versed</w:t>
      </w:r>
      <w:r>
        <w:rPr>
          <w:color w:val="6E6158"/>
          <w:spacing w:val="17"/>
        </w:rPr>
        <w:t> </w:t>
      </w:r>
      <w:r>
        <w:rPr>
          <w:color w:val="6E6158"/>
        </w:rPr>
        <w:t>in</w:t>
      </w:r>
      <w:r>
        <w:rPr>
          <w:color w:val="6E6158"/>
          <w:spacing w:val="17"/>
        </w:rPr>
        <w:t> </w:t>
      </w:r>
      <w:r>
        <w:rPr>
          <w:color w:val="6E6158"/>
        </w:rPr>
        <w:t>all</w:t>
      </w:r>
      <w:r>
        <w:rPr>
          <w:color w:val="6E6158"/>
          <w:spacing w:val="17"/>
        </w:rPr>
        <w:t> </w:t>
      </w:r>
      <w:r>
        <w:rPr>
          <w:color w:val="6E6158"/>
        </w:rPr>
        <w:t>aspects</w:t>
      </w:r>
      <w:r>
        <w:rPr>
          <w:color w:val="6E6158"/>
          <w:spacing w:val="17"/>
        </w:rPr>
        <w:t> </w:t>
      </w:r>
      <w:r>
        <w:rPr>
          <w:color w:val="6E6158"/>
        </w:rPr>
        <w:t>of</w:t>
      </w:r>
      <w:r>
        <w:rPr>
          <w:color w:val="6E6158"/>
          <w:spacing w:val="17"/>
        </w:rPr>
        <w:t> </w:t>
      </w:r>
      <w:r>
        <w:rPr>
          <w:color w:val="6E6158"/>
        </w:rPr>
        <w:t>the</w:t>
      </w:r>
      <w:r>
        <w:rPr>
          <w:color w:val="6E6158"/>
          <w:spacing w:val="17"/>
        </w:rPr>
        <w:t> </w:t>
      </w:r>
      <w:r>
        <w:rPr>
          <w:color w:val="6E6158"/>
        </w:rPr>
        <w:t>“business</w:t>
      </w:r>
      <w:r>
        <w:rPr>
          <w:color w:val="6E6158"/>
          <w:spacing w:val="17"/>
        </w:rPr>
        <w:t> </w:t>
      </w:r>
      <w:r>
        <w:rPr>
          <w:color w:val="6E6158"/>
        </w:rPr>
        <w:t>of</w:t>
      </w:r>
      <w:r>
        <w:rPr>
          <w:color w:val="6E6158"/>
          <w:spacing w:val="17"/>
        </w:rPr>
        <w:t> </w:t>
      </w:r>
      <w:r>
        <w:rPr>
          <w:color w:val="6E6158"/>
        </w:rPr>
        <w:t>business,”</w:t>
      </w:r>
      <w:r>
        <w:rPr>
          <w:color w:val="6E6158"/>
          <w:spacing w:val="17"/>
        </w:rPr>
        <w:t> </w:t>
      </w:r>
      <w:r>
        <w:rPr>
          <w:color w:val="6E6158"/>
        </w:rPr>
        <w:t>Richard</w:t>
      </w:r>
      <w:r>
        <w:rPr>
          <w:color w:val="6E6158"/>
          <w:spacing w:val="17"/>
        </w:rPr>
        <w:t> </w:t>
      </w:r>
      <w:r>
        <w:rPr>
          <w:color w:val="6E6158"/>
        </w:rPr>
        <w:t>guides</w:t>
      </w:r>
      <w:r>
        <w:rPr>
          <w:color w:val="6E6158"/>
          <w:spacing w:val="17"/>
        </w:rPr>
        <w:t> </w:t>
      </w:r>
      <w:r>
        <w:rPr>
          <w:color w:val="6E6158"/>
        </w:rPr>
        <w:t>clients</w:t>
      </w:r>
      <w:r>
        <w:rPr>
          <w:color w:val="6E6158"/>
          <w:spacing w:val="17"/>
        </w:rPr>
        <w:t> </w:t>
      </w:r>
      <w:r>
        <w:rPr>
          <w:color w:val="6E6158"/>
        </w:rPr>
        <w:t>in</w:t>
      </w:r>
      <w:r>
        <w:rPr>
          <w:color w:val="6E6158"/>
          <w:spacing w:val="17"/>
        </w:rPr>
        <w:t> </w:t>
      </w:r>
      <w:r>
        <w:rPr>
          <w:color w:val="6E6158"/>
        </w:rPr>
        <w:t>legal</w:t>
      </w:r>
      <w:r>
        <w:rPr>
          <w:color w:val="6E6158"/>
          <w:spacing w:val="17"/>
        </w:rPr>
        <w:t> </w:t>
      </w:r>
      <w:r>
        <w:rPr>
          <w:color w:val="6E6158"/>
        </w:rPr>
        <w:t>matters</w:t>
      </w:r>
      <w:r>
        <w:rPr>
          <w:color w:val="6E6158"/>
          <w:spacing w:val="17"/>
        </w:rPr>
        <w:t> </w:t>
      </w:r>
      <w:r>
        <w:rPr>
          <w:color w:val="6E6158"/>
        </w:rPr>
        <w:t>related to operations, organization, financing, and mergers and acquisitions. He assists clients in entity</w:t>
      </w:r>
      <w:r>
        <w:rPr>
          <w:color w:val="6E6158"/>
          <w:spacing w:val="40"/>
        </w:rPr>
        <w:t> </w:t>
      </w:r>
      <w:r>
        <w:rPr>
          <w:color w:val="6E6158"/>
        </w:rPr>
        <w:t>formation, corporate governance, shareholder agreements, equity and debt financing,</w:t>
      </w:r>
      <w:r>
        <w:rPr>
          <w:color w:val="6E6158"/>
          <w:spacing w:val="40"/>
        </w:rPr>
        <w:t> </w:t>
      </w:r>
      <w:r>
        <w:rPr>
          <w:color w:val="6E6158"/>
        </w:rPr>
        <w:t>distribution and vendor agreements, covenants not to compete, and employment </w:t>
      </w:r>
      <w:r>
        <w:rPr>
          <w:color w:val="6E6158"/>
        </w:rPr>
        <w:t>agreements,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has</w:t>
      </w:r>
      <w:r>
        <w:rPr>
          <w:color w:val="6E6158"/>
          <w:spacing w:val="31"/>
        </w:rPr>
        <w:t> </w:t>
      </w:r>
      <w:r>
        <w:rPr>
          <w:color w:val="6E6158"/>
        </w:rPr>
        <w:t>represented</w:t>
      </w:r>
      <w:r>
        <w:rPr>
          <w:color w:val="6E6158"/>
          <w:spacing w:val="31"/>
        </w:rPr>
        <w:t> </w:t>
      </w:r>
      <w:r>
        <w:rPr>
          <w:color w:val="6E6158"/>
        </w:rPr>
        <w:t>companies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investors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venture</w:t>
      </w:r>
      <w:r>
        <w:rPr>
          <w:color w:val="6E6158"/>
          <w:spacing w:val="31"/>
        </w:rPr>
        <w:t> </w:t>
      </w:r>
      <w:r>
        <w:rPr>
          <w:color w:val="6E6158"/>
        </w:rPr>
        <w:t>capital</w:t>
      </w:r>
      <w:r>
        <w:rPr>
          <w:color w:val="6E6158"/>
          <w:spacing w:val="31"/>
        </w:rPr>
        <w:t> </w:t>
      </w:r>
      <w:r>
        <w:rPr>
          <w:color w:val="6E6158"/>
        </w:rPr>
        <w:t>rounds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private</w:t>
      </w:r>
      <w:r>
        <w:rPr>
          <w:color w:val="6E6158"/>
          <w:spacing w:val="31"/>
        </w:rPr>
        <w:t> </w:t>
      </w:r>
      <w:r>
        <w:rPr>
          <w:color w:val="6E6158"/>
        </w:rPr>
        <w:t>equity</w:t>
      </w:r>
    </w:p>
    <w:p>
      <w:pPr>
        <w:pStyle w:val="BodyText"/>
        <w:spacing w:line="232" w:lineRule="exact"/>
        <w:ind w:left="104"/>
      </w:pPr>
      <w:r>
        <w:rPr>
          <w:color w:val="6E6158"/>
          <w:spacing w:val="-2"/>
        </w:rPr>
        <w:t>transactions.</w:t>
      </w:r>
    </w:p>
    <w:p>
      <w:pPr>
        <w:pStyle w:val="BodyText"/>
        <w:spacing w:before="14"/>
        <w:ind w:left="0"/>
      </w:pPr>
    </w:p>
    <w:p>
      <w:pPr>
        <w:pStyle w:val="Heading2"/>
        <w:spacing w:before="0"/>
      </w:pPr>
      <w:r>
        <w:rPr>
          <w:color w:val="6E6158"/>
          <w:spacing w:val="-2"/>
        </w:rPr>
        <w:t>Securities</w:t>
      </w:r>
    </w:p>
    <w:p>
      <w:pPr>
        <w:pStyle w:val="BodyText"/>
        <w:spacing w:line="302" w:lineRule="auto" w:before="52"/>
        <w:ind w:left="104" w:right="610"/>
      </w:pPr>
      <w:r>
        <w:rPr>
          <w:color w:val="6E6158"/>
        </w:rPr>
        <w:t>Richard has represented both companies and professional investors in countless exempt </w:t>
      </w:r>
      <w:r>
        <w:rPr>
          <w:color w:val="6E6158"/>
        </w:rPr>
        <w:t>private</w:t>
      </w:r>
      <w:r>
        <w:rPr>
          <w:color w:val="6E6158"/>
          <w:spacing w:val="40"/>
        </w:rPr>
        <w:t> </w:t>
      </w:r>
      <w:r>
        <w:rPr>
          <w:color w:val="6E6158"/>
        </w:rPr>
        <w:t>securities</w:t>
      </w:r>
      <w:r>
        <w:rPr>
          <w:color w:val="6E6158"/>
          <w:spacing w:val="40"/>
        </w:rPr>
        <w:t> </w:t>
      </w:r>
      <w:r>
        <w:rPr>
          <w:color w:val="6E6158"/>
        </w:rPr>
        <w:t>transactions,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founders,</w:t>
      </w:r>
      <w:r>
        <w:rPr>
          <w:color w:val="6E6158"/>
          <w:spacing w:val="40"/>
        </w:rPr>
        <w:t> </w:t>
      </w:r>
      <w:r>
        <w:rPr>
          <w:color w:val="6E6158"/>
        </w:rPr>
        <w:t>accredited</w:t>
      </w:r>
      <w:r>
        <w:rPr>
          <w:color w:val="6E6158"/>
          <w:spacing w:val="40"/>
        </w:rPr>
        <w:t> </w:t>
      </w:r>
      <w:r>
        <w:rPr>
          <w:color w:val="6E6158"/>
        </w:rPr>
        <w:t>investors,</w:t>
      </w:r>
      <w:r>
        <w:rPr>
          <w:color w:val="6E6158"/>
          <w:spacing w:val="40"/>
        </w:rPr>
        <w:t> </w:t>
      </w:r>
      <w:r>
        <w:rPr>
          <w:color w:val="6E6158"/>
        </w:rPr>
        <w:t>venture</w:t>
      </w:r>
      <w:r>
        <w:rPr>
          <w:color w:val="6E6158"/>
          <w:spacing w:val="40"/>
        </w:rPr>
        <w:t> </w:t>
      </w:r>
      <w:r>
        <w:rPr>
          <w:color w:val="6E6158"/>
        </w:rPr>
        <w:t>capitalists,</w:t>
      </w:r>
      <w:r>
        <w:rPr>
          <w:color w:val="6E6158"/>
          <w:spacing w:val="40"/>
        </w:rPr>
        <w:t> </w:t>
      </w:r>
      <w:r>
        <w:rPr>
          <w:color w:val="6E6158"/>
        </w:rPr>
        <w:t>private</w:t>
      </w:r>
    </w:p>
    <w:p>
      <w:pPr>
        <w:pStyle w:val="BodyText"/>
        <w:spacing w:line="295" w:lineRule="auto"/>
        <w:ind w:left="104"/>
      </w:pPr>
      <w:r>
        <w:rPr>
          <w:color w:val="6E6158"/>
        </w:rPr>
        <w:t>equity, family offices, and strategic investors. He is experienced with disclosure and registration</w:t>
      </w:r>
      <w:r>
        <w:rPr>
          <w:color w:val="6E6158"/>
          <w:spacing w:val="40"/>
        </w:rPr>
        <w:t> </w:t>
      </w:r>
      <w:r>
        <w:rPr>
          <w:color w:val="6E6158"/>
        </w:rPr>
        <w:t>requirements under state Blue Sky and federal securities laws. He has advised clients on private</w:t>
      </w:r>
      <w:r>
        <w:rPr>
          <w:color w:val="6E6158"/>
          <w:spacing w:val="40"/>
        </w:rPr>
        <w:t> </w:t>
      </w:r>
      <w:r>
        <w:rPr>
          <w:color w:val="6E6158"/>
        </w:rPr>
        <w:t>placement memoranda, stock purchase agreements, structuring investor preferential returns,</w:t>
      </w:r>
      <w:r>
        <w:rPr>
          <w:color w:val="6E6158"/>
          <w:spacing w:val="40"/>
        </w:rPr>
        <w:t> </w:t>
      </w:r>
      <w:r>
        <w:rPr>
          <w:color w:val="6E6158"/>
        </w:rPr>
        <w:t>representations and warranties, and related ancillary agreements.</w:t>
      </w:r>
    </w:p>
    <w:p>
      <w:pPr>
        <w:pStyle w:val="Heading2"/>
      </w:pPr>
      <w:r>
        <w:rPr>
          <w:color w:val="6E6158"/>
        </w:rPr>
        <w:t>Intellectual</w:t>
      </w:r>
      <w:r>
        <w:rPr>
          <w:color w:val="6E6158"/>
          <w:spacing w:val="21"/>
        </w:rPr>
        <w:t> </w:t>
      </w:r>
      <w:r>
        <w:rPr>
          <w:color w:val="6E6158"/>
          <w:spacing w:val="-2"/>
        </w:rPr>
        <w:t>Property</w:t>
      </w:r>
    </w:p>
    <w:p>
      <w:pPr>
        <w:pStyle w:val="BodyText"/>
        <w:spacing w:line="302" w:lineRule="auto" w:before="51"/>
        <w:ind w:left="104" w:right="610"/>
      </w:pPr>
      <w:r>
        <w:rPr>
          <w:color w:val="6E6158"/>
        </w:rPr>
        <w:t>Richard is experienced with trademarks, trade secrets, copyright and patent licensing,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advises</w:t>
      </w:r>
      <w:r>
        <w:rPr>
          <w:color w:val="6E6158"/>
          <w:spacing w:val="34"/>
        </w:rPr>
        <w:t> </w:t>
      </w:r>
      <w:r>
        <w:rPr>
          <w:color w:val="6E6158"/>
        </w:rPr>
        <w:t>clients</w:t>
      </w:r>
      <w:r>
        <w:rPr>
          <w:color w:val="6E6158"/>
          <w:spacing w:val="34"/>
        </w:rPr>
        <w:t> </w:t>
      </w:r>
      <w:r>
        <w:rPr>
          <w:color w:val="6E6158"/>
        </w:rPr>
        <w:t>concerning</w:t>
      </w:r>
      <w:r>
        <w:rPr>
          <w:color w:val="6E6158"/>
          <w:spacing w:val="34"/>
        </w:rPr>
        <w:t> </w:t>
      </w:r>
      <w:r>
        <w:rPr>
          <w:color w:val="6E6158"/>
        </w:rPr>
        <w:t>the</w:t>
      </w:r>
      <w:r>
        <w:rPr>
          <w:color w:val="6E6158"/>
          <w:spacing w:val="34"/>
        </w:rPr>
        <w:t> </w:t>
      </w:r>
      <w:r>
        <w:rPr>
          <w:color w:val="6E6158"/>
        </w:rPr>
        <w:t>selection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clearing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trademarks,</w:t>
      </w:r>
      <w:r>
        <w:rPr>
          <w:color w:val="6E6158"/>
          <w:spacing w:val="34"/>
        </w:rPr>
        <w:t> </w:t>
      </w:r>
      <w:r>
        <w:rPr>
          <w:color w:val="6E6158"/>
        </w:rPr>
        <w:t>the</w:t>
      </w:r>
      <w:r>
        <w:rPr>
          <w:color w:val="6E6158"/>
          <w:spacing w:val="34"/>
        </w:rPr>
        <w:t> </w:t>
      </w:r>
      <w:r>
        <w:rPr>
          <w:color w:val="6E6158"/>
        </w:rPr>
        <w:t>protection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</w:p>
    <w:p>
      <w:pPr>
        <w:pStyle w:val="BodyText"/>
        <w:spacing w:line="295" w:lineRule="auto"/>
        <w:ind w:left="104" w:right="610"/>
      </w:pPr>
      <w:r>
        <w:rPr>
          <w:color w:val="6E6158"/>
        </w:rPr>
        <w:t>trademarks, and infringement issues. He has represented retail brands and businesses involved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digital entertainment and production services. With a background in computer programming,</w:t>
      </w:r>
      <w:r>
        <w:rPr>
          <w:color w:val="6E6158"/>
          <w:spacing w:val="40"/>
        </w:rPr>
        <w:t> </w:t>
      </w:r>
      <w:r>
        <w:rPr>
          <w:color w:val="6E6158"/>
        </w:rPr>
        <w:t>Richard has substantial legal experience advising software companies and, developers of</w:t>
      </w:r>
      <w:r>
        <w:rPr>
          <w:color w:val="6E6158"/>
          <w:spacing w:val="40"/>
        </w:rPr>
        <w:t> </w:t>
      </w:r>
      <w:r>
        <w:rPr>
          <w:color w:val="6E6158"/>
        </w:rPr>
        <w:t>enterprise products, including cloud-based software-as-a-service (SaaS).</w:t>
      </w:r>
    </w:p>
    <w:p>
      <w:pPr>
        <w:pStyle w:val="Heading2"/>
      </w:pPr>
      <w:r>
        <w:rPr>
          <w:color w:val="6E6158"/>
        </w:rPr>
        <w:t>Food</w:t>
      </w:r>
      <w:r>
        <w:rPr>
          <w:color w:val="6E6158"/>
          <w:spacing w:val="9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Beverage</w:t>
      </w:r>
    </w:p>
    <w:p>
      <w:pPr>
        <w:pStyle w:val="BodyText"/>
        <w:spacing w:line="297" w:lineRule="auto" w:before="52"/>
        <w:ind w:left="104" w:right="607"/>
      </w:pPr>
      <w:r>
        <w:rPr>
          <w:color w:val="6E6158"/>
        </w:rPr>
        <w:t>For more than two decades Richard has guided food and beverage companies, including</w:t>
      </w:r>
      <w:r>
        <w:rPr>
          <w:color w:val="6E6158"/>
          <w:spacing w:val="40"/>
        </w:rPr>
        <w:t> </w:t>
      </w:r>
      <w:r>
        <w:rPr>
          <w:color w:val="6E6158"/>
        </w:rPr>
        <w:t>natural and organic businesses and investors, in matters related to growing, manufacturing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production,</w:t>
      </w:r>
      <w:r>
        <w:rPr>
          <w:color w:val="6E6158"/>
          <w:spacing w:val="33"/>
        </w:rPr>
        <w:t> </w:t>
      </w:r>
      <w:r>
        <w:rPr>
          <w:color w:val="6E6158"/>
        </w:rPr>
        <w:t>co-packing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contract</w:t>
      </w:r>
      <w:r>
        <w:rPr>
          <w:color w:val="6E6158"/>
          <w:spacing w:val="33"/>
        </w:rPr>
        <w:t> </w:t>
      </w:r>
      <w:r>
        <w:rPr>
          <w:color w:val="6E6158"/>
        </w:rPr>
        <w:t>manufacturing,</w:t>
      </w:r>
      <w:r>
        <w:rPr>
          <w:color w:val="6E6158"/>
          <w:spacing w:val="33"/>
        </w:rPr>
        <w:t> </w:t>
      </w:r>
      <w:r>
        <w:rPr>
          <w:color w:val="6E6158"/>
        </w:rPr>
        <w:t>distribution,</w:t>
      </w:r>
      <w:r>
        <w:rPr>
          <w:color w:val="6E6158"/>
          <w:spacing w:val="33"/>
        </w:rPr>
        <w:t> </w:t>
      </w:r>
      <w:r>
        <w:rPr>
          <w:color w:val="6E6158"/>
        </w:rPr>
        <w:t>retail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online</w:t>
      </w:r>
      <w:r>
        <w:rPr>
          <w:color w:val="6E6158"/>
          <w:spacing w:val="33"/>
        </w:rPr>
        <w:t> </w:t>
      </w:r>
      <w:r>
        <w:rPr>
          <w:color w:val="6E6158"/>
        </w:rPr>
        <w:t>retail,</w:t>
      </w:r>
      <w:r>
        <w:rPr>
          <w:color w:val="6E6158"/>
          <w:spacing w:val="33"/>
        </w:rPr>
        <w:t> </w:t>
      </w:r>
      <w:r>
        <w:rPr>
          <w:color w:val="6E6158"/>
        </w:rPr>
        <w:t>food</w:t>
      </w:r>
    </w:p>
    <w:p>
      <w:pPr>
        <w:pStyle w:val="BodyText"/>
        <w:spacing w:after="0" w:line="297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7" w:lineRule="auto" w:before="88"/>
        <w:ind w:left="104" w:right="610"/>
      </w:pPr>
      <w:r>
        <w:rPr>
          <w:color w:val="6E6158"/>
        </w:rPr>
        <w:t>service, consumer brands, FDA labeling requirements, and third party certifications, such as</w:t>
      </w:r>
      <w:r>
        <w:rPr>
          <w:color w:val="6E6158"/>
          <w:spacing w:val="40"/>
        </w:rPr>
        <w:t> </w:t>
      </w:r>
      <w:r>
        <w:rPr>
          <w:color w:val="6E6158"/>
        </w:rPr>
        <w:t>Organic, Non-GMO and Fair Trade. He has also worked on product recalls and product recall</w:t>
      </w:r>
      <w:r>
        <w:rPr>
          <w:color w:val="6E6158"/>
          <w:spacing w:val="40"/>
        </w:rPr>
        <w:t> </w:t>
      </w:r>
      <w:r>
        <w:rPr>
          <w:color w:val="6E6158"/>
        </w:rPr>
        <w:t>insurance coverage issues.</w:t>
      </w:r>
    </w:p>
    <w:p>
      <w:pPr>
        <w:pStyle w:val="Heading1"/>
        <w:spacing w:before="158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right="42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157545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5162pt;width:1.65pt;height:1.65pt;mso-position-horizontal-relative:page;mso-position-vertical-relative:paragraph;z-index:15729152" id="docshape7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415911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8909pt;width:1.65pt;height:1.65pt;mso-position-horizontal-relative:page;mso-position-vertical-relative:paragraph;z-index:15729664" id="docshape8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California, Berkeley, School of </w:t>
      </w:r>
      <w:r>
        <w:rPr>
          <w:color w:val="6E6158"/>
        </w:rPr>
        <w:t>Law</w:t>
      </w:r>
      <w:r>
        <w:rPr>
          <w:color w:val="6E6158"/>
        </w:rPr>
        <w:t> B.A., University of California, Irvine</w:t>
      </w: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65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43"/>
        <w:ind w:left="0"/>
        <w:rPr>
          <w:b/>
        </w:rPr>
      </w:pPr>
    </w:p>
    <w:p>
      <w:pPr>
        <w:pStyle w:val="BodyText"/>
        <w:spacing w:line="420" w:lineRule="auto"/>
        <w:ind w:right="67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65005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18521pt;width:1.65pt;height:1.65pt;mso-position-horizontal-relative:page;mso-position-vertical-relative:paragraph;z-index:15730176" id="docshape9" coordorigin="1675,102" coordsize="33,33" path="m1696,135l1687,135,1683,133,1676,127,1675,123,1675,114,1676,110,1683,104,1687,102,1696,102,1699,104,1706,110,1707,114,1707,119,1707,123,1706,127,1699,133,1696,1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323370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62271pt;width:1.65pt;height:1.65pt;mso-position-horizontal-relative:page;mso-position-vertical-relative:paragraph;z-index:15730688" id="docshape10" coordorigin="1675,509" coordsize="33,33" path="m1696,542l1687,542,1683,540,1676,534,1675,530,1675,521,1676,517,1683,511,1687,509,1696,509,1699,511,1706,517,1707,521,1707,526,1707,530,1706,534,1699,540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 &amp; Organic </w:t>
      </w:r>
      <w:r>
        <w:rPr>
          <w:color w:val="6E6158"/>
        </w:rPr>
        <w:t>Products Business &amp; Finance</w:t>
      </w:r>
    </w:p>
    <w:p>
      <w:pPr>
        <w:pStyle w:val="BodyText"/>
        <w:spacing w:line="420" w:lineRule="auto" w:before="7"/>
        <w:ind w:right="67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63995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9052pt;width:1.65pt;height:1.65pt;mso-position-horizontal-relative:page;mso-position-vertical-relative:paragraph;z-index:15731200" id="docshape11" coordorigin="1675,101" coordsize="33,33" path="m1696,133l1687,133,1683,132,1676,125,1675,122,1675,113,1676,109,1683,102,1687,101,1696,101,1699,102,1706,109,1707,113,1707,117,1707,122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322361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82801pt;width:1.65pt;height:1.65pt;mso-position-horizontal-relative:page;mso-position-vertical-relative:paragraph;z-index:15731712" id="docshape12" coordorigin="1675,508" coordsize="33,33" path="m1696,540l1687,540,1683,539,1676,532,1675,528,1675,519,1676,516,1683,509,1687,508,1696,508,1699,509,1706,516,1707,519,1707,524,1707,528,1706,532,1699,539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Food &amp; Beverage Advanced</w:t>
      </w:r>
      <w:r>
        <w:rPr>
          <w:color w:val="6E6158"/>
          <w:spacing w:val="20"/>
        </w:rPr>
        <w:t> </w:t>
      </w:r>
      <w:r>
        <w:rPr>
          <w:color w:val="6E6158"/>
          <w:spacing w:val="-2"/>
        </w:rPr>
        <w:t>Energy</w:t>
      </w: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2" w:lineRule="auto" w:before="146"/>
        <w:ind w:right="6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245480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29189pt;width:1.65pt;height:1.65pt;mso-position-horizontal-relative:page;mso-position-vertical-relative:paragraph;z-index:15732224" id="docshape13" coordorigin="1675,387" coordsize="33,33" path="m1696,419l1687,419,1683,418,1676,411,1675,407,1675,398,1676,395,1683,388,1687,387,1696,387,1699,388,1706,395,1707,398,1707,403,1707,407,1706,411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investor in sports equipment manufacturing company in sale to Dutch </w:t>
      </w:r>
      <w:r>
        <w:rPr>
          <w:color w:val="6E6158"/>
        </w:rPr>
        <w:t>public</w:t>
      </w:r>
      <w:r>
        <w:rPr>
          <w:color w:val="6E6158"/>
          <w:spacing w:val="40"/>
        </w:rPr>
        <w:t> </w:t>
      </w:r>
      <w:r>
        <w:rPr>
          <w:color w:val="6E6158"/>
        </w:rPr>
        <w:t>company for $150+ million.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143208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6288pt;width:1.65pt;height:1.65pt;mso-position-horizontal-relative:page;mso-position-vertical-relative:paragraph;z-index:15732736" id="docshape14" coordorigin="1675,226" coordsize="33,33" path="m1696,258l1687,258,1683,256,1676,250,1675,246,1675,237,1676,233,1683,227,1687,226,1696,226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0"/>
        </w:rPr>
        <w:t> </w:t>
      </w:r>
      <w:r>
        <w:rPr>
          <w:color w:val="6E6158"/>
        </w:rPr>
        <w:t>seller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software</w:t>
      </w:r>
      <w:r>
        <w:rPr>
          <w:color w:val="6E6158"/>
          <w:spacing w:val="10"/>
        </w:rPr>
        <w:t> </w:t>
      </w:r>
      <w:r>
        <w:rPr>
          <w:color w:val="6E6158"/>
        </w:rPr>
        <w:t>as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service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major</w:t>
      </w:r>
      <w:r>
        <w:rPr>
          <w:color w:val="6E6158"/>
          <w:spacing w:val="10"/>
        </w:rPr>
        <w:t> </w: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public</w:t>
      </w:r>
      <w:r>
        <w:rPr>
          <w:color w:val="6E6158"/>
          <w:spacing w:val="10"/>
        </w:rPr>
        <w:t> </w:t>
      </w:r>
      <w:r>
        <w:rPr>
          <w:color w:val="6E6158"/>
        </w:rPr>
        <w:t>cable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company.</w:t>
      </w:r>
    </w:p>
    <w:p>
      <w:pPr>
        <w:pStyle w:val="BodyText"/>
        <w:spacing w:line="292" w:lineRule="auto" w:before="174"/>
        <w:ind w:right="4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262840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96083pt;width:1.65pt;height:1.65pt;mso-position-horizontal-relative:page;mso-position-vertical-relative:paragraph;z-index:15733248" id="docshape15" coordorigin="1675,414" coordsize="33,33" path="m1696,446l1687,446,1683,445,1676,439,1675,435,1675,426,1676,422,1683,416,1687,414,1696,414,1699,416,1706,422,1707,426,1707,430,1707,435,1706,439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investor in Canadian natural food company in $100+ million sale to public U.S.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company.</w:t>
      </w:r>
    </w:p>
    <w:p>
      <w:pPr>
        <w:pStyle w:val="BodyText"/>
        <w:spacing w:line="292" w:lineRule="auto" w:before="131"/>
        <w:ind w:right="6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235800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6935pt;width:1.65pt;height:1.65pt;mso-position-horizontal-relative:page;mso-position-vertical-relative:paragraph;z-index:15733760" id="docshape16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venture capital fund as lead or co-lead investor in 15 financings in the natural</w:t>
      </w:r>
      <w:r>
        <w:rPr>
          <w:color w:val="6E6158"/>
          <w:spacing w:val="40"/>
        </w:rPr>
        <w:t> </w:t>
      </w:r>
      <w:r>
        <w:rPr>
          <w:color w:val="6E6158"/>
        </w:rPr>
        <w:t>foods and products industry.</w:t>
      </w:r>
    </w:p>
    <w:p>
      <w:pPr>
        <w:pStyle w:val="BodyText"/>
        <w:spacing w:line="292" w:lineRule="auto" w:before="123"/>
        <w:ind w:right="6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230897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0893pt;width:1.65pt;height:1.65pt;mso-position-horizontal-relative:page;mso-position-vertical-relative:paragraph;z-index:15734272" id="docshape17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real estate entrepreneurs in connection with offerings by 12 LLC’s raising approximately $50 million from investors.</w:t>
      </w:r>
    </w:p>
    <w:p>
      <w:pPr>
        <w:pStyle w:val="BodyText"/>
        <w:spacing w:line="420" w:lineRule="auto" w:before="132"/>
        <w:ind w:right="21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143230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8003pt;width:1.65pt;height:1.65pt;mso-position-horizontal-relative:page;mso-position-vertical-relative:paragraph;z-index:15734784" id="docshape18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406763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028618pt;width:1.65pt;height:1.65pt;mso-position-horizontal-relative:page;mso-position-vertical-relative:paragraph;z-index:15735296" id="docshape19" coordorigin="1675,641" coordsize="33,33" path="m1696,673l1687,673,1683,672,1676,665,1675,661,1675,652,1676,649,1683,642,1687,641,1696,641,1699,642,1706,649,1707,652,1707,657,1707,661,1706,665,1699,672,1696,6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consumer products company in $5 million Series A </w:t>
      </w:r>
      <w:r>
        <w:rPr>
          <w:color w:val="6E6158"/>
        </w:rPr>
        <w:t>offering. Represented organic food company in $5+ million Series A offering.</w:t>
      </w:r>
    </w:p>
    <w:p>
      <w:pPr>
        <w:pStyle w:val="BodyText"/>
        <w:spacing w:line="420" w:lineRule="auto"/>
        <w:ind w:right="21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63568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5417pt;width:1.65pt;height:1.65pt;mso-position-horizontal-relative:page;mso-position-vertical-relative:paragraph;z-index:15735808" id="docshape20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321934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49161pt;width:1.65pt;height:1.65pt;mso-position-horizontal-relative:page;mso-position-vertical-relative:paragraph;z-index:15736320" id="docshape21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organic food company in $3+ million Common Stock </w:t>
      </w:r>
      <w:r>
        <w:rPr>
          <w:color w:val="6E6158"/>
        </w:rPr>
        <w:t>offering. Represented natural online retailer in convertible debt offerings.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62559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25936pt;width:1.65pt;height:1.65pt;mso-position-horizontal-relative:page;mso-position-vertical-relative:paragraph;z-index:15736832" id="docshape22" coordorigin="1675,99" coordsize="33,33" path="m1696,131l1687,131,1683,129,1676,123,1675,119,1675,110,1676,106,1683,100,1687,99,1696,99,1699,100,1706,106,1707,110,1707,115,1707,119,1706,123,1699,129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3"/>
        </w:rPr>
        <w:t> </w:t>
      </w:r>
      <w:r>
        <w:rPr>
          <w:color w:val="6E6158"/>
        </w:rPr>
        <w:t>buyer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leveraged</w:t>
      </w:r>
      <w:r>
        <w:rPr>
          <w:color w:val="6E6158"/>
          <w:spacing w:val="14"/>
        </w:rPr>
        <w:t> </w:t>
      </w:r>
      <w:r>
        <w:rPr>
          <w:color w:val="6E6158"/>
        </w:rPr>
        <w:t>buy-out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ingredient</w:t>
      </w:r>
      <w:r>
        <w:rPr>
          <w:color w:val="6E6158"/>
          <w:spacing w:val="13"/>
        </w:rPr>
        <w:t> </w:t>
      </w:r>
      <w:r>
        <w:rPr>
          <w:color w:val="6E6158"/>
        </w:rPr>
        <w:t>supply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company.</w:t>
      </w:r>
    </w:p>
    <w:p>
      <w:pPr>
        <w:pStyle w:val="BodyText"/>
        <w:spacing w:line="292" w:lineRule="auto" w:before="174"/>
        <w:ind w:right="6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262835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95742pt;width:1.65pt;height:1.65pt;mso-position-horizontal-relative:page;mso-position-vertical-relative:paragraph;z-index:15737344" id="docshape23" coordorigin="1675,414" coordsize="33,33" path="m1696,446l1687,446,1683,445,1676,439,1675,435,1675,426,1676,422,1683,416,1687,414,1696,414,1699,416,1706,422,1707,426,1707,430,1707,435,1706,439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CGI-based creative services company in more than 30 transactions with </w:t>
      </w:r>
      <w:r>
        <w:rPr>
          <w:color w:val="6E6158"/>
        </w:rPr>
        <w:t>major</w:t>
      </w:r>
      <w:r>
        <w:rPr>
          <w:color w:val="6E6158"/>
          <w:spacing w:val="40"/>
        </w:rPr>
        <w:t> </w:t>
      </w:r>
      <w:r>
        <w:rPr>
          <w:color w:val="6E6158"/>
        </w:rPr>
        <w:t>and independent film studios, advertising agencies and game companies.</w:t>
      </w:r>
    </w:p>
    <w:p>
      <w:pPr>
        <w:pStyle w:val="BodyText"/>
        <w:spacing w:line="302" w:lineRule="auto" w:before="123"/>
        <w:ind w:right="4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235795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6572pt;width:1.65pt;height:1.65pt;mso-position-horizontal-relative:page;mso-position-vertical-relative:paragraph;z-index:15737856" id="docshape24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major land owner in Altamont Pass in connection with $100+ million </w:t>
      </w:r>
      <w:r>
        <w:rPr>
          <w:color w:val="6E6158"/>
        </w:rPr>
        <w:t>repowering</w:t>
      </w:r>
      <w:r>
        <w:rPr>
          <w:color w:val="6E6158"/>
          <w:spacing w:val="40"/>
        </w:rPr>
        <w:t> </w:t>
      </w:r>
      <w:r>
        <w:rPr>
          <w:color w:val="6E6158"/>
        </w:rPr>
        <w:t>wind projects.</w:t>
      </w:r>
    </w:p>
    <w:p>
      <w:pPr>
        <w:pStyle w:val="BodyText"/>
        <w:spacing w:line="292" w:lineRule="auto" w:before="113"/>
        <w:ind w:right="7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224138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8737pt;width:1.65pt;height:1.65pt;mso-position-horizontal-relative:page;mso-position-vertical-relative:paragraph;z-index:15738368" id="docshape25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municipal utility in contracts with power suppliers and users of </w:t>
      </w:r>
      <w:r>
        <w:rPr>
          <w:color w:val="6E6158"/>
        </w:rPr>
        <w:t>substation </w:t>
      </w:r>
      <w:r>
        <w:rPr>
          <w:color w:val="6E6158"/>
          <w:spacing w:val="-2"/>
        </w:rPr>
        <w:t>facilities.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142821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5824pt;width:1.65pt;height:1.65pt;mso-position-horizontal-relative:page;mso-position-vertical-relative:paragraph;z-index:15738880" id="docshape26" coordorigin="1675,225" coordsize="33,33" path="m1696,257l1687,257,1683,256,1676,250,1675,246,1675,237,1676,233,1683,227,1687,225,1696,225,1699,227,1706,233,1707,237,1707,241,1707,246,1706,250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1"/>
        </w:rPr>
        <w:t> </w:t>
      </w:r>
      <w:r>
        <w:rPr>
          <w:color w:val="6E6158"/>
        </w:rPr>
        <w:t>fair</w:t>
      </w:r>
      <w:r>
        <w:rPr>
          <w:color w:val="6E6158"/>
          <w:spacing w:val="11"/>
        </w:rPr>
        <w:t> </w:t>
      </w:r>
      <w:r>
        <w:rPr>
          <w:color w:val="6E6158"/>
        </w:rPr>
        <w:t>trade</w:t>
      </w:r>
      <w:r>
        <w:rPr>
          <w:color w:val="6E6158"/>
          <w:spacing w:val="11"/>
        </w:rPr>
        <w:t> </w:t>
      </w:r>
      <w:r>
        <w:rPr>
          <w:color w:val="6E6158"/>
        </w:rPr>
        <w:t>organic</w:t>
      </w:r>
      <w:r>
        <w:rPr>
          <w:color w:val="6E6158"/>
          <w:spacing w:val="11"/>
        </w:rPr>
        <w:t> </w:t>
      </w:r>
      <w:r>
        <w:rPr>
          <w:color w:val="6E6158"/>
        </w:rPr>
        <w:t>food</w:t>
      </w:r>
      <w:r>
        <w:rPr>
          <w:color w:val="6E6158"/>
          <w:spacing w:val="11"/>
        </w:rPr>
        <w:t> </w:t>
      </w:r>
      <w:r>
        <w:rPr>
          <w:color w:val="6E6158"/>
        </w:rPr>
        <w:t>company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$5</w:t>
      </w:r>
      <w:r>
        <w:rPr>
          <w:color w:val="6E6158"/>
          <w:spacing w:val="11"/>
        </w:rPr>
        <w:t> </w:t>
      </w:r>
      <w:r>
        <w:rPr>
          <w:color w:val="6E6158"/>
        </w:rPr>
        <w:t>million</w:t>
      </w:r>
      <w:r>
        <w:rPr>
          <w:color w:val="6E6158"/>
          <w:spacing w:val="11"/>
        </w:rPr>
        <w:t> </w:t>
      </w:r>
      <w:r>
        <w:rPr>
          <w:color w:val="6E6158"/>
        </w:rPr>
        <w:t>Series</w:t>
      </w:r>
      <w:r>
        <w:rPr>
          <w:color w:val="6E6158"/>
          <w:spacing w:val="11"/>
        </w:rPr>
        <w:t> </w:t>
      </w:r>
      <w:r>
        <w:rPr>
          <w:color w:val="6E6158"/>
        </w:rPr>
        <w:t>B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offering.</w:t>
      </w:r>
    </w:p>
    <w:p>
      <w:pPr>
        <w:pStyle w:val="BodyText"/>
        <w:spacing w:line="292" w:lineRule="auto" w:before="174"/>
        <w:ind w:right="6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263088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1563pt;width:1.65pt;height:1.65pt;mso-position-horizontal-relative:page;mso-position-vertical-relative:paragraph;z-index:15739392" id="docshape27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organic and fair trade food manufacturer in acquisition of North </w:t>
      </w:r>
      <w:r>
        <w:rPr>
          <w:color w:val="6E6158"/>
        </w:rPr>
        <w:t>American trademark rights and worldwide trademark registration matters.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before="88" w:after="8"/>
      </w:pPr>
      <w:r>
        <w:rPr>
          <w:color w:val="6E6158"/>
        </w:rPr>
        <w:t>Represented</w:t>
      </w:r>
      <w:r>
        <w:rPr>
          <w:color w:val="6E6158"/>
          <w:spacing w:val="11"/>
        </w:rPr>
        <w:t> </w:t>
      </w:r>
      <w:r>
        <w:rPr>
          <w:color w:val="6E6158"/>
        </w:rPr>
        <w:t>largest</w:t>
      </w:r>
      <w:r>
        <w:rPr>
          <w:color w:val="6E6158"/>
          <w:spacing w:val="11"/>
        </w:rPr>
        <w:t> </w:t>
      </w:r>
      <w:r>
        <w:rPr>
          <w:color w:val="6E6158"/>
        </w:rPr>
        <w:t>West</w:t>
      </w:r>
      <w:r>
        <w:rPr>
          <w:color w:val="6E6158"/>
          <w:spacing w:val="11"/>
        </w:rPr>
        <w:t> </w:t>
      </w:r>
      <w:r>
        <w:rPr>
          <w:color w:val="6E6158"/>
        </w:rPr>
        <w:t>Coast</w:t>
      </w:r>
      <w:r>
        <w:rPr>
          <w:color w:val="6E6158"/>
          <w:spacing w:val="11"/>
        </w:rPr>
        <w:t> </w:t>
      </w:r>
      <w:r>
        <w:rPr>
          <w:color w:val="6E6158"/>
        </w:rPr>
        <w:t>distributor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natural</w:t>
      </w:r>
      <w:r>
        <w:rPr>
          <w:color w:val="6E6158"/>
          <w:spacing w:val="12"/>
        </w:rPr>
        <w:t> </w:t>
      </w:r>
      <w:r>
        <w:rPr>
          <w:color w:val="6E6158"/>
        </w:rPr>
        <w:t>food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merger</w:t>
      </w:r>
      <w:r>
        <w:rPr>
          <w:color w:val="6E6158"/>
          <w:spacing w:val="11"/>
        </w:rPr>
        <w:t> </w:t>
      </w:r>
      <w:r>
        <w:rPr>
          <w:color w:val="6E6158"/>
        </w:rPr>
        <w:t>that</w:t>
      </w:r>
      <w:r>
        <w:rPr>
          <w:color w:val="6E6158"/>
          <w:spacing w:val="11"/>
        </w:rPr>
        <w:t> </w:t>
      </w:r>
      <w:r>
        <w:rPr>
          <w:color w:val="6E6158"/>
        </w:rPr>
        <w:t>created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largest</w:t>
      </w:r>
    </w:p>
    <w:p>
      <w:pPr>
        <w:pStyle w:val="BodyText"/>
        <w:spacing w:line="32" w:lineRule="exact"/>
        <w:ind w:left="234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28" coordorigin="0,0" coordsize="33,33">
                <v:shape style="position:absolute;left:0;top:0;width:33;height:33" id="docshape29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before="13"/>
      </w:pP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distributor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natural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food</w:t>
      </w:r>
    </w:p>
    <w:p>
      <w:pPr>
        <w:pStyle w:val="Heading1"/>
        <w:spacing w:before="22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6"/>
        <w:ind w:right="46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152559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2526pt;width:1.65pt;height:1.65pt;mso-position-horizontal-relative:page;mso-position-vertical-relative:paragraph;z-index:15740416" id="docshape30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416091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3149pt;width:1.65pt;height:1.65pt;mso-position-horizontal-relative:page;mso-position-vertical-relative:paragraph;z-index:15740928" id="docshape31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674457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06899pt;width:1.65pt;height:1.65pt;mso-position-horizontal-relative:page;mso-position-vertical-relative:paragraph;z-index:15741440" id="docshape32" coordorigin="1675,1062" coordsize="33,33" path="m1696,1095l1687,1095,1683,1093,1676,1087,1675,1083,1675,1074,1676,1070,1683,1064,1687,1062,1696,1062,1699,1064,1706,1070,1707,1074,1707,1078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President, Alameda Chamber of </w:t>
      </w:r>
      <w:r>
        <w:rPr>
          <w:color w:val="6E6158"/>
        </w:rPr>
        <w:t>Commerce Director, Alameda Chamber of Commerce Director, Trans Pacific National Bank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63502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0197pt;width:1.65pt;height:1.65pt;mso-position-horizontal-relative:page;mso-position-vertical-relative:paragraph;z-index:15741952" id="docshape33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Director,</w:t>
      </w:r>
      <w:r>
        <w:rPr>
          <w:color w:val="6E6158"/>
          <w:spacing w:val="4"/>
        </w:rPr>
        <w:t> </w:t>
      </w:r>
      <w:r>
        <w:rPr>
          <w:color w:val="6E6158"/>
        </w:rPr>
        <w:t>Inner</w:t>
      </w:r>
      <w:r>
        <w:rPr>
          <w:color w:val="6E6158"/>
          <w:spacing w:val="4"/>
        </w:rPr>
        <w:t> </w:t>
      </w:r>
      <w:r>
        <w:rPr>
          <w:color w:val="6E6158"/>
        </w:rPr>
        <w:t>City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Advisors</w:t>
      </w:r>
    </w:p>
    <w:p>
      <w:pPr>
        <w:pStyle w:val="BodyText"/>
        <w:spacing w:line="420" w:lineRule="auto" w:before="183"/>
        <w:ind w:right="34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175456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5444pt;width:1.65pt;height:1.65pt;mso-position-horizontal-relative:page;mso-position-vertical-relative:paragraph;z-index:15742464" id="docshape34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438989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566067pt;width:1.65pt;height:1.65pt;mso-position-horizontal-relative:page;mso-position-vertical-relative:paragraph;z-index:15742976" id="docshape35" coordorigin="1675,691" coordsize="33,33" path="m1696,724l1687,724,1683,722,1676,716,1675,712,1675,703,1676,699,1683,693,1687,691,1696,691,1699,693,1706,699,1707,703,1707,708,1707,712,1706,716,1699,722,1696,7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697354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909817pt;width:1.65pt;height:1.65pt;mso-position-horizontal-relative:page;mso-position-vertical-relative:paragraph;z-index:15743488" id="docshape36" coordorigin="1675,1098" coordsize="33,33" path="m1696,1131l1687,1131,1683,1129,1676,1123,1675,1119,1675,1110,1676,1106,1683,1100,1687,1098,1696,1098,1699,1100,1706,1106,1707,1110,1707,1114,1707,1119,1706,1123,1699,1129,1696,1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Co-Chair, Silicon Island Technology Consortium (SITCON)</w:t>
      </w:r>
      <w:r>
        <w:rPr>
          <w:color w:val="6E6158"/>
          <w:spacing w:val="80"/>
        </w:rPr>
        <w:t> </w:t>
      </w:r>
      <w:r>
        <w:rPr>
          <w:color w:val="6E6158"/>
        </w:rPr>
        <w:t>Director and Corporate Secretary, California Jazz </w:t>
      </w:r>
      <w:r>
        <w:rPr>
          <w:color w:val="6E6158"/>
        </w:rPr>
        <w:t>Conservatory Member,</w:t>
      </w:r>
      <w:r>
        <w:rPr>
          <w:color w:val="6E6158"/>
          <w:spacing w:val="12"/>
        </w:rPr>
        <w:t> </w:t>
      </w:r>
      <w:r>
        <w:rPr>
          <w:color w:val="6E6158"/>
        </w:rPr>
        <w:t>Corporations</w:t>
      </w:r>
      <w:r>
        <w:rPr>
          <w:color w:val="6E6158"/>
          <w:spacing w:val="13"/>
        </w:rPr>
        <w:t> </w:t>
      </w:r>
      <w:r>
        <w:rPr>
          <w:color w:val="6E6158"/>
        </w:rPr>
        <w:t>Section,</w:t>
      </w:r>
      <w:r>
        <w:rPr>
          <w:color w:val="6E6158"/>
          <w:spacing w:val="13"/>
        </w:rPr>
        <w:t> </w:t>
      </w:r>
      <w:r>
        <w:rPr>
          <w:color w:val="6E6158"/>
        </w:rPr>
        <w:t>California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7" w:lineRule="auto"/>
        <w:ind w:right="21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62904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53113pt;width:1.65pt;height:1.65pt;mso-position-horizontal-relative:page;mso-position-vertical-relative:paragraph;z-index:15744000" id="docshape37" coordorigin="1675,99" coordsize="33,33" path="m1696,132l1687,132,1683,130,1676,124,1675,120,1675,111,1676,107,1683,101,1687,99,1696,99,1699,101,1706,107,1707,111,1707,115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321270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96864pt;width:1.65pt;height:1.65pt;mso-position-horizontal-relative:page;mso-position-vertical-relative:paragraph;z-index:15744512" id="docshape38" coordorigin="1675,506" coordsize="33,33" path="m1696,538l1687,538,1683,537,1676,531,1675,527,1675,518,1676,514,1683,508,1687,506,1696,506,1699,508,1706,514,1707,518,1707,522,1707,527,1706,531,1699,537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Intellectual Property Section, California State Bar </w:t>
      </w:r>
      <w:r>
        <w:rPr>
          <w:color w:val="6E6158"/>
        </w:rPr>
        <w:t>Association Member, Alameda County Bar Association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58187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81657pt;width:1.65pt;height:1.65pt;mso-position-horizontal-relative:page;mso-position-vertical-relative:paragraph;z-index:15745024" id="docshape39" coordorigin="1675,92" coordsize="33,33" path="m1696,124l1687,124,1683,123,1676,116,1675,112,1675,103,1676,100,1683,93,1687,92,1696,92,1699,93,1706,100,1707,103,1707,108,1707,112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Wakefield</w:t>
      </w:r>
      <w:r>
        <w:rPr>
          <w:color w:val="6E6158"/>
          <w:spacing w:val="5"/>
        </w:rPr>
        <w:t> </w:t>
      </w:r>
      <w:r>
        <w:rPr>
          <w:color w:val="6E6158"/>
        </w:rPr>
        <w:t>Jazz</w:t>
      </w:r>
      <w:r>
        <w:rPr>
          <w:color w:val="6E6158"/>
          <w:spacing w:val="5"/>
        </w:rPr>
        <w:t> </w:t>
      </w:r>
      <w:r>
        <w:rPr>
          <w:color w:val="6E6158"/>
          <w:spacing w:val="-2"/>
        </w:rPr>
        <w:t>Sextet</w:t>
      </w:r>
    </w:p>
    <w:p>
      <w:pPr>
        <w:pStyle w:val="BodyText"/>
        <w:spacing w:before="38"/>
        <w:ind w:left="0"/>
        <w:rPr>
          <w:sz w:val="24"/>
        </w:rPr>
      </w:pPr>
    </w:p>
    <w:p>
      <w:pPr>
        <w:pStyle w:val="Heading1"/>
        <w:spacing w:before="0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0"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157888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2139pt;width:1.65pt;height:1.65pt;mso-position-horizontal-relative:page;mso-position-vertical-relative:paragraph;z-index:15745536" id="docshape40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0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88"/>
      <w:ind w:left="104"/>
      <w:outlineLvl w:val="2"/>
    </w:pPr>
    <w:rPr>
      <w:rFonts w:ascii="Century Gothic" w:hAnsi="Century Gothic" w:eastAsia="Century Gothic" w:cs="Century Gothic"/>
      <w:b/>
      <w:bCs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rlyons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2025-04-09T14:59:50Z</dcterms:created>
  <dcterms:modified xsi:type="dcterms:W3CDTF">2025-04-09T14:59:50Z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2025-04-09T00:00:00Z</vt:filetime>
  </property>
  <property fmtid="{D5CDD505-2E9C-101B-9397-08002B2CF9AE}" pid="5" name="Producer">
    <vt:lpwstr>Skia/PDF m117</vt:lpwstr>
  </property>
</Properties>
</file>