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43161" y="763308"/>
                            <a:ext cx="202628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SULLIVAN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8592" y="1859626"/>
                            <a:ext cx="455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476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050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5471" y="2226505"/>
                            <a:ext cx="15214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23;top:2716;width:3166;height:505" id="docshape5" coordorigin="6924,2716" coordsize="3166,505" path="m10089,3213l6924,3213,6924,3221,10089,3221,10089,3213xm10089,2716l6924,2716,6924,2725,10089,2725,10089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20;top:1762;width:3191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SULLIVAN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57;top:3488;width:71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1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509.828.4642</w:t>
                        </w:r>
                      </w:p>
                    </w:txbxContent>
                  </v:textbox>
                  <w10:wrap type="none"/>
                </v:shape>
                <v:shape style="position:absolute;left:877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</w:txbxContent>
                  </v:textbox>
                  <w10:wrap type="none"/>
                </v:shape>
                <v:shape style="position:absolute;left:7318;top:4066;width:239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BRETT</w:t>
      </w:r>
      <w:r>
        <w:rPr>
          <w:color w:val="FF8100"/>
          <w:spacing w:val="4"/>
        </w:rPr>
        <w:t> </w:t>
      </w:r>
      <w:r>
        <w:rPr>
          <w:color w:val="FF8100"/>
        </w:rPr>
        <w:t>T.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SULLIVAN</w:t>
      </w:r>
    </w:p>
    <w:p>
      <w:pPr>
        <w:pStyle w:val="BodyText"/>
        <w:spacing w:line="297" w:lineRule="auto" w:before="147"/>
        <w:ind w:left="104" w:right="261"/>
      </w:pPr>
      <w:r>
        <w:rPr>
          <w:color w:val="6E6158"/>
        </w:rPr>
        <w:t>Brett T. Sullivan’s practice focuses on real estate and business law, with a particular focus on </w:t>
      </w:r>
      <w:r>
        <w:rPr>
          <w:color w:val="6E6158"/>
        </w:rPr>
        <w:t>the intersection of these two areas. He advises individuals and businesses in all aspects of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entity</w:t>
      </w:r>
      <w:r>
        <w:rPr>
          <w:color w:val="6E6158"/>
          <w:spacing w:val="33"/>
        </w:rPr>
        <w:t> </w:t>
      </w:r>
      <w:r>
        <w:rPr>
          <w:color w:val="6E6158"/>
        </w:rPr>
        <w:t>formation,</w:t>
      </w:r>
      <w:r>
        <w:rPr>
          <w:color w:val="6E6158"/>
          <w:spacing w:val="33"/>
        </w:rPr>
        <w:t> </w:t>
      </w:r>
      <w:r>
        <w:rPr>
          <w:color w:val="6E6158"/>
        </w:rPr>
        <w:t>management,</w:t>
      </w:r>
      <w:r>
        <w:rPr>
          <w:color w:val="6E6158"/>
          <w:spacing w:val="33"/>
        </w:rPr>
        <w:t> </w:t>
      </w:r>
      <w:r>
        <w:rPr>
          <w:color w:val="6E6158"/>
        </w:rPr>
        <w:t>governance,</w:t>
      </w:r>
      <w:r>
        <w:rPr>
          <w:color w:val="6E6158"/>
          <w:spacing w:val="33"/>
        </w:rPr>
        <w:t> </w:t>
      </w:r>
      <w:r>
        <w:rPr>
          <w:color w:val="6E6158"/>
        </w:rPr>
        <w:t>financing,</w:t>
      </w:r>
      <w:r>
        <w:rPr>
          <w:color w:val="6E6158"/>
          <w:spacing w:val="33"/>
        </w:rPr>
        <w:t> </w:t>
      </w:r>
      <w:r>
        <w:rPr>
          <w:color w:val="6E6158"/>
        </w:rPr>
        <w:t>operations,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closings.</w:t>
      </w:r>
    </w:p>
    <w:p>
      <w:pPr>
        <w:pStyle w:val="BodyText"/>
        <w:spacing w:line="302" w:lineRule="auto"/>
        <w:ind w:left="104" w:right="325"/>
      </w:pPr>
      <w:r>
        <w:rPr>
          <w:color w:val="6E6158"/>
        </w:rPr>
        <w:t>His clients include real estate investors, developers, and syndication groups across </w:t>
      </w:r>
      <w:r>
        <w:rPr>
          <w:color w:val="6E6158"/>
        </w:rPr>
        <w:t>Washington state.</w:t>
      </w:r>
      <w:r>
        <w:rPr>
          <w:color w:val="6E6158"/>
          <w:spacing w:val="25"/>
        </w:rPr>
        <w:t> </w:t>
      </w: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asset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equity</w:t>
      </w:r>
      <w:r>
        <w:rPr>
          <w:color w:val="6E6158"/>
          <w:spacing w:val="25"/>
        </w:rPr>
        <w:t> </w:t>
      </w:r>
      <w:r>
        <w:rPr>
          <w:color w:val="6E6158"/>
        </w:rPr>
        <w:t>sale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acted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/>
        <w:ind w:left="104" w:right="325"/>
      </w:pPr>
      <w:r>
        <w:rPr>
          <w:color w:val="6E6158"/>
        </w:rPr>
        <w:t>closing agent on numerous business purchase and sale transactions. Additionally, he provides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full</w:t>
      </w:r>
      <w:r>
        <w:rPr>
          <w:color w:val="6E6158"/>
          <w:spacing w:val="40"/>
        </w:rPr>
        <w:t> </w:t>
      </w:r>
      <w:r>
        <w:rPr>
          <w:color w:val="6E6158"/>
        </w:rPr>
        <w:t>spectrum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homeowners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condominium</w:t>
      </w:r>
      <w:r>
        <w:rPr>
          <w:color w:val="6E6158"/>
          <w:spacing w:val="40"/>
        </w:rPr>
        <w:t> </w:t>
      </w:r>
      <w:r>
        <w:rPr>
          <w:color w:val="6E6158"/>
        </w:rPr>
        <w:t>owners</w:t>
      </w:r>
      <w:r>
        <w:rPr>
          <w:color w:val="6E6158"/>
          <w:spacing w:val="40"/>
        </w:rPr>
        <w:t> </w:t>
      </w:r>
      <w:r>
        <w:rPr>
          <w:color w:val="6E6158"/>
        </w:rPr>
        <w:t>associations.</w:t>
      </w:r>
    </w:p>
    <w:p>
      <w:pPr>
        <w:pStyle w:val="BodyText"/>
        <w:spacing w:line="295" w:lineRule="auto" w:before="183"/>
        <w:ind w:left="104" w:right="391"/>
      </w:pPr>
      <w:r>
        <w:rPr>
          <w:color w:val="6E6158"/>
        </w:rPr>
        <w:t>Brett brings to the table significant experience in working on commercial and residential real</w:t>
      </w:r>
      <w:r>
        <w:rPr>
          <w:color w:val="6E6158"/>
          <w:spacing w:val="40"/>
        </w:rPr>
        <w:t> </w:t>
      </w:r>
      <w:r>
        <w:rPr>
          <w:color w:val="6E6158"/>
        </w:rPr>
        <w:t>estate development matters as well as entity formation and governance, and his 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 both transactional and litigation representation in these areas. His clients benefit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his previous in-house counsel experiences and entrepreneurial mindset, as he is well known for</w:t>
      </w:r>
      <w:r>
        <w:rPr>
          <w:color w:val="6E6158"/>
          <w:spacing w:val="40"/>
        </w:rPr>
        <w:t> </w:t>
      </w:r>
      <w:r>
        <w:rPr>
          <w:color w:val="6E6158"/>
        </w:rPr>
        <w:t>applying his pragmatic business experience as a counselor and advisor.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Additionally, Brett has experience in representing clients with estate planning and estate</w:t>
      </w:r>
      <w:r>
        <w:rPr>
          <w:color w:val="6E6158"/>
          <w:spacing w:val="40"/>
        </w:rPr>
        <w:t> </w:t>
      </w:r>
      <w:r>
        <w:rPr>
          <w:color w:val="6E6158"/>
        </w:rPr>
        <w:t>administration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particular</w:t>
      </w:r>
      <w:r>
        <w:rPr>
          <w:color w:val="6E6158"/>
          <w:spacing w:val="14"/>
        </w:rPr>
        <w:t> </w:t>
      </w:r>
      <w:r>
        <w:rPr>
          <w:color w:val="6E6158"/>
        </w:rPr>
        <w:t>focus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ownership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interests.</w:t>
      </w:r>
    </w:p>
    <w:p>
      <w:pPr>
        <w:pStyle w:val="BodyText"/>
        <w:spacing w:line="295" w:lineRule="auto" w:before="197"/>
        <w:ind w:left="104" w:right="325"/>
      </w:pPr>
      <w:r>
        <w:rPr>
          <w:color w:val="6E6158"/>
        </w:rPr>
        <w:t>Brett first started practicing law in Spokane in 1994 after having clerked with a local law firm</w:t>
      </w:r>
      <w:r>
        <w:rPr>
          <w:color w:val="6E6158"/>
          <w:spacing w:val="80"/>
        </w:rPr>
        <w:t> </w:t>
      </w:r>
      <w:r>
        <w:rPr>
          <w:color w:val="6E6158"/>
        </w:rPr>
        <w:t>during law school. In 1997, He joined a large residential contractor and developer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where he helped to expand and grow its operations. In 2008, he returned to the private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</w:t>
      </w:r>
      <w:r>
        <w:rPr>
          <w:color w:val="6E6158"/>
          <w:spacing w:val="27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joined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Spencer</w:t>
      </w:r>
      <w:r>
        <w:rPr>
          <w:color w:val="6E6158"/>
          <w:spacing w:val="27"/>
        </w:rPr>
        <w:t> </w:t>
      </w:r>
      <w:r>
        <w:rPr>
          <w:color w:val="6E6158"/>
        </w:rPr>
        <w:t>Stromberg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2010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form</w:t>
      </w:r>
    </w:p>
    <w:p>
      <w:pPr>
        <w:pStyle w:val="BodyText"/>
        <w:spacing w:before="1"/>
        <w:ind w:left="104"/>
      </w:pPr>
      <w:r>
        <w:rPr>
          <w:color w:val="6E6158"/>
        </w:rPr>
        <w:t>Lucent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PLLC</w:t>
      </w:r>
      <w:r>
        <w:rPr>
          <w:color w:val="6E6158"/>
          <w:spacing w:val="12"/>
        </w:rPr>
        <w:t> </w:t>
      </w:r>
      <w:r>
        <w:rPr>
          <w:color w:val="6E6158"/>
        </w:rPr>
        <w:t>(then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Sullivan</w:t>
      </w:r>
      <w:r>
        <w:rPr>
          <w:color w:val="6E6158"/>
          <w:spacing w:val="12"/>
        </w:rPr>
        <w:t> </w:t>
      </w:r>
      <w:r>
        <w:rPr>
          <w:color w:val="6E6158"/>
        </w:rPr>
        <w:t>Stromberg,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PLLC).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Committed to serving the legal community, as well as his clients, Brett previously served as an ex-</w:t>
      </w:r>
      <w:r>
        <w:rPr>
          <w:color w:val="6E6158"/>
          <w:spacing w:val="40"/>
        </w:rPr>
        <w:t> </w:t>
      </w:r>
      <w:r>
        <w:rPr>
          <w:color w:val="6E6158"/>
        </w:rPr>
        <w:t>officio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Executive</w:t>
      </w:r>
      <w:r>
        <w:rPr>
          <w:color w:val="6E6158"/>
          <w:spacing w:val="31"/>
        </w:rPr>
        <w:t> </w:t>
      </w:r>
      <w:r>
        <w:rPr>
          <w:color w:val="6E6158"/>
        </w:rPr>
        <w:t>Committee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Washington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</w:p>
    <w:p>
      <w:pPr>
        <w:pStyle w:val="BodyText"/>
        <w:spacing w:line="297" w:lineRule="auto" w:before="2"/>
        <w:ind w:left="104" w:right="325"/>
      </w:pPr>
      <w:r>
        <w:rPr>
          <w:color w:val="6E6158"/>
        </w:rPr>
        <w:t>Property, Probate and Trust Section, along with having served on several non-profit boards in the</w:t>
      </w:r>
      <w:r>
        <w:rPr>
          <w:color w:val="6E6158"/>
          <w:spacing w:val="40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area.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lectures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groups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advisors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areas</w:t>
      </w:r>
      <w:r>
        <w:rPr>
          <w:color w:val="6E6158"/>
          <w:spacing w:val="27"/>
        </w:rPr>
        <w:t> </w:t>
      </w:r>
      <w:r>
        <w:rPr>
          <w:color w:val="6E6158"/>
        </w:rPr>
        <w:t>of real estate and business law.</w:t>
      </w:r>
    </w:p>
    <w:p>
      <w:pPr>
        <w:pStyle w:val="BodyText"/>
        <w:spacing w:line="292" w:lineRule="auto" w:before="191"/>
        <w:ind w:left="104" w:right="325"/>
      </w:pPr>
      <w:r>
        <w:rPr>
          <w:color w:val="6E6158"/>
        </w:rPr>
        <w:t>In his spare time, Brett enjoys the many recreational opportunities found in Eastern Washington,</w:t>
      </w:r>
      <w:r>
        <w:rPr>
          <w:color w:val="6E6158"/>
          <w:spacing w:val="40"/>
        </w:rPr>
        <w:t> </w:t>
      </w:r>
      <w:r>
        <w:rPr>
          <w:color w:val="6E6158"/>
        </w:rPr>
        <w:t>North Idaho, and British Columbia, including sailing, fly fishing, and skiing.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158063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952pt;width:1.65pt;height:1.65pt;mso-position-horizontal-relative:page;mso-position-vertical-relative:paragraph;z-index:15729152" id="docshape11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Gonzaga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420" w:lineRule="auto"/>
        <w:ind w:right="49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1200" id="docshape15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318402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1089pt;width:1.65pt;height:1.65pt;mso-position-horizontal-relative:page;mso-position-vertical-relative:paragraph;z-index:15731712" id="docshape1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59027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7869pt;width:1.65pt;height:1.65pt;mso-position-horizontal-relative:page;mso-position-vertical-relative:paragraph;z-index:15732224" id="docshape1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245492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0099pt;width:1.65pt;height:1.65pt;mso-position-horizontal-relative:page;mso-position-vertical-relative:paragraph;z-index:15732736" id="docshape18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Transfer on Death Deed in Washington State: What It Is and How It Works,”</w:t>
        </w:r>
      </w:hyperlink>
      <w:r>
        <w:rPr>
          <w:color w:val="F5821F"/>
        </w:rPr>
        <w:t> </w:t>
      </w:r>
      <w:r>
        <w:rPr>
          <w:color w:val="6E6158"/>
        </w:rPr>
        <w:t>Firm Publication, July 6, 2023</w:t>
      </w:r>
    </w:p>
    <w:p>
      <w:pPr>
        <w:pStyle w:val="BodyText"/>
        <w:spacing w:line="302" w:lineRule="auto" w:before="12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236232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946pt;width:1.65pt;height:1.65pt;mso-position-horizontal-relative:page;mso-position-vertical-relative:paragraph;z-index:15733248" id="docshape1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Danger Ahead: Transferring Real Estate into a Trust</w:t>
        </w:r>
      </w:hyperlink>
      <w:r>
        <w:rPr>
          <w:color w:val="6E6158"/>
        </w:rPr>
        <w:t>,” Firm Publication, June 28, </w:t>
      </w:r>
      <w:r>
        <w:rPr>
          <w:color w:val="6E6158"/>
          <w:spacing w:val="-4"/>
        </w:rPr>
        <w:t>2023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130928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354pt;width:1.65pt;height:1.65pt;mso-position-horizontal-relative:page;mso-position-vertical-relative:paragraph;z-index:15733760" id="docshape2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When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Use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Quit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Claim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Deed?”</w:t>
        </w:r>
      </w:hyperlink>
      <w:r>
        <w:rPr>
          <w:color w:val="F5821F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Publication,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263260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9147pt;width:1.65pt;height:1.65pt;mso-position-horizontal-relative:page;mso-position-vertical-relative:paragraph;z-index:15734272" id="docshape21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I Sold My Property on Contract and The Buyer Isn’t Paying. What Can I Do?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Exploring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Options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Defaults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Seller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Financing</w:t>
        </w:r>
      </w:hyperlink>
      <w:r>
        <w:rPr>
          <w:color w:val="6E6158"/>
        </w:rPr>
        <w:t>.”</w:t>
      </w:r>
      <w:r>
        <w:rPr>
          <w:color w:val="6E6158"/>
          <w:spacing w:val="33"/>
        </w:rPr>
        <w:t> </w:t>
      </w:r>
      <w:r>
        <w:rPr>
          <w:color w:val="6E6158"/>
        </w:rPr>
        <w:t>Firm</w:t>
      </w:r>
      <w:r>
        <w:rPr>
          <w:color w:val="6E6158"/>
          <w:spacing w:val="33"/>
        </w:rPr>
        <w:t> </w:t>
      </w:r>
      <w:r>
        <w:rPr>
          <w:color w:val="6E6158"/>
        </w:rPr>
        <w:t>Publication,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3,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236219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997pt;width:1.65pt;height:1.65pt;mso-position-horizontal-relative:page;mso-position-vertical-relative:paragraph;z-index:15734784" id="docshape2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Navigating Probate in Washington State: A Guide for the Surviving Spouse</w:t>
        </w:r>
      </w:hyperlink>
      <w:r>
        <w:rPr>
          <w:color w:val="6E6158"/>
        </w:rPr>
        <w:t>,” Firm Publication, May 30, 2023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230682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3969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6">
        <w:r>
          <w:rPr>
            <w:color w:val="F5821F"/>
          </w:rPr>
          <w:t>Washington Home Sellers Must Make Required Disclosures</w:t>
        </w:r>
      </w:hyperlink>
      <w:r>
        <w:rPr>
          <w:color w:val="6E6158"/>
        </w:rPr>
        <w:t>,” Firm Publication, May 21,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824pt;width:1.65pt;height:1.65pt;mso-position-horizontal-relative:page;mso-position-vertical-relative:paragraph;z-index:15735808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Top Five Things to Know About Shared Driveway Easements</w:t>
        </w:r>
      </w:hyperlink>
      <w:r>
        <w:rPr>
          <w:color w:val="6E6158"/>
        </w:rPr>
        <w:t>,” Firm Publication, December 16, 2022</w:t>
      </w:r>
    </w:p>
    <w:p>
      <w:pPr>
        <w:pStyle w:val="BodyText"/>
        <w:spacing w:line="302" w:lineRule="auto" w:before="12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654pt;width:1.65pt;height:1.65pt;mso-position-horizontal-relative:page;mso-position-vertical-relative:paragraph;z-index:15736320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8">
        <w:r>
          <w:rPr>
            <w:color w:val="F5821F"/>
          </w:rPr>
          <w:t>Easements 101: Everything You Need to Know</w:t>
        </w:r>
      </w:hyperlink>
      <w:r>
        <w:rPr>
          <w:color w:val="6E6158"/>
        </w:rPr>
        <w:t>,” Firm Publication, December 15, </w:t>
      </w:r>
      <w:r>
        <w:rPr>
          <w:color w:val="6E6158"/>
          <w:spacing w:val="-4"/>
        </w:rPr>
        <w:t>2022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130988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4075pt;width:1.65pt;height:1.65pt;mso-position-horizontal-relative:page;mso-position-vertical-relative:paragraph;z-index:15736832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Idaho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Legislature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Acts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Rental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Restrictions,”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Publication,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262684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3857pt;width:1.65pt;height:1.65pt;mso-position-horizontal-relative:page;mso-position-vertical-relative:paragraph;z-index:15737344" id="docshape27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0">
        <w:r>
          <w:rPr>
            <w:color w:val="F5821F"/>
          </w:rPr>
          <w:t>Six Things to Consider Before Putting Your Home On the Market</w:t>
        </w:r>
      </w:hyperlink>
      <w:r>
        <w:rPr>
          <w:color w:val="6E6158"/>
        </w:rPr>
        <w:t>,” Firm Publication, June 22, 2022</w:t>
      </w:r>
    </w:p>
    <w:p>
      <w:pPr>
        <w:pStyle w:val="BodyText"/>
        <w:spacing w:line="420" w:lineRule="auto" w:before="132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143268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968pt;width:1.65pt;height:1.65pt;mso-position-horizontal-relative:page;mso-position-vertical-relative:paragraph;z-index:15737856" id="docshape2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401633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471pt;width:1.65pt;height:1.65pt;mso-position-horizontal-relative:page;mso-position-vertical-relative:paragraph;z-index:15738368" id="docshape29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665166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75324pt;width:1.65pt;height:1.65pt;mso-position-horizontal-relative:page;mso-position-vertical-relative:paragraph;z-index:15738880" id="docshape30" coordorigin="1675,1048" coordsize="33,33" path="m1696,1080l1687,1080,1683,1078,1676,1072,1675,1068,1675,1059,1676,1055,1683,1049,1687,1048,1696,1048,1699,1049,1706,1055,1707,1059,1707,1064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1">
        <w:r>
          <w:rPr>
            <w:color w:val="F5821F"/>
          </w:rPr>
          <w:t>How Do I Add Someone to My Property’s Title?”</w:t>
        </w:r>
      </w:hyperlink>
      <w:r>
        <w:rPr>
          <w:color w:val="F5821F"/>
        </w:rPr>
        <w:t> </w:t>
      </w:r>
      <w:r>
        <w:rPr>
          <w:color w:val="6E6158"/>
        </w:rPr>
        <w:t>Firm Publication, May 23, 2022</w:t>
      </w:r>
      <w:r>
        <w:rPr>
          <w:color w:val="6E6158"/>
          <w:spacing w:val="80"/>
        </w:rPr>
        <w:t> </w:t>
      </w:r>
      <w:r>
        <w:rPr>
          <w:color w:val="6E6158"/>
        </w:rPr>
        <w:t>Co-Author, “</w:t>
      </w:r>
      <w:hyperlink r:id="rId22">
        <w:r>
          <w:rPr>
            <w:color w:val="F5821F"/>
          </w:rPr>
          <w:t>Should I Waive the Inspection Contingency?”</w:t>
        </w:r>
      </w:hyperlink>
      <w:r>
        <w:rPr>
          <w:color w:val="F5821F"/>
        </w:rPr>
        <w:t> </w:t>
      </w:r>
      <w:r>
        <w:rPr>
          <w:color w:val="6E6158"/>
        </w:rPr>
        <w:t>Firm Publication, February 15, </w:t>
      </w:r>
      <w:r>
        <w:rPr>
          <w:color w:val="6E6158"/>
        </w:rPr>
        <w:t>2022 Co-Author,</w:t>
      </w:r>
      <w:r>
        <w:rPr>
          <w:color w:val="6E6158"/>
          <w:spacing w:val="28"/>
        </w:rPr>
        <w:t> </w:t>
      </w:r>
      <w:r>
        <w:rPr>
          <w:color w:val="6E6158"/>
        </w:rPr>
        <w:t>“(</w:t>
      </w:r>
      <w:hyperlink r:id="rId23">
        <w:r>
          <w:rPr>
            <w:color w:val="F5821F"/>
          </w:rPr>
          <w:t>Video)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DIY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My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Purchase?”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Publication,</w:t>
      </w:r>
      <w:r>
        <w:rPr>
          <w:color w:val="6E6158"/>
          <w:spacing w:val="28"/>
        </w:rPr>
        <w:t> </w:t>
      </w:r>
      <w:r>
        <w:rPr>
          <w:color w:val="6E6158"/>
        </w:rPr>
        <w:t>June</w:t>
      </w:r>
      <w:r>
        <w:rPr>
          <w:color w:val="6E6158"/>
          <w:spacing w:val="28"/>
        </w:rPr>
        <w:t> </w:t>
      </w:r>
      <w:r>
        <w:rPr>
          <w:color w:val="6E6158"/>
        </w:rPr>
        <w:t>4,</w:t>
      </w:r>
      <w:r>
        <w:rPr>
          <w:color w:val="6E6158"/>
          <w:spacing w:val="28"/>
        </w:rPr>
        <w:t> </w:t>
      </w:r>
      <w:r>
        <w:rPr>
          <w:color w:val="6E6158"/>
        </w:rPr>
        <w:t>2021</w:t>
      </w:r>
    </w:p>
    <w:p>
      <w:pPr>
        <w:pStyle w:val="BodyText"/>
        <w:spacing w:line="302" w:lineRule="auto"/>
        <w:ind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156113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92385pt;width:1.65pt;height:1.65pt;mso-position-horizontal-relative:page;mso-position-vertical-relative:paragraph;z-index:15739392" id="docshape31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4">
        <w:r>
          <w:rPr>
            <w:color w:val="F5821F"/>
          </w:rPr>
          <w:t>Changes to Washington Real Estate Excise Tax</w:t>
        </w:r>
      </w:hyperlink>
      <w:r>
        <w:rPr>
          <w:color w:val="6E6158"/>
        </w:rPr>
        <w:t>,” Firm Publication, January 25,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10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222561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24551pt;width:1.65pt;height:1.65pt;mso-position-horizontal-relative:page;mso-position-vertical-relative:paragraph;z-index:15739904" id="docshape32" coordorigin="1675,350" coordsize="33,33" path="m1696,383l1687,383,1683,381,1676,375,1675,371,1675,362,1676,358,1683,352,1687,350,1696,350,1699,352,1706,358,1707,362,1707,367,1707,371,1706,375,1699,381,1696,3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5">
        <w:r>
          <w:rPr>
            <w:color w:val="F5821F"/>
          </w:rPr>
          <w:t>Startup Business Law Series: How Do I Protect My Personal Assets?”</w:t>
        </w:r>
      </w:hyperlink>
      <w:r>
        <w:rPr>
          <w:color w:val="F5821F"/>
        </w:rPr>
        <w:t> </w:t>
      </w:r>
      <w:r>
        <w:rPr>
          <w:color w:val="6E6158"/>
        </w:rPr>
        <w:t>Firm Publication, January 15, 2020</w:t>
      </w:r>
    </w:p>
    <w:p>
      <w:pPr>
        <w:pStyle w:val="BodyText"/>
        <w:spacing w:line="302" w:lineRule="auto" w:before="12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236161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381pt;width:1.65pt;height:1.65pt;mso-position-horizontal-relative:page;mso-position-vertical-relative:paragraph;z-index:15740416" id="docshape33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6">
        <w:r>
          <w:rPr>
            <w:color w:val="F5821F"/>
          </w:rPr>
          <w:t>Changes to LLC and Corporation Filings in Washington</w:t>
        </w:r>
      </w:hyperlink>
      <w:r>
        <w:rPr>
          <w:color w:val="6E6158"/>
        </w:rPr>
        <w:t>,” Firm </w:t>
      </w:r>
      <w:r>
        <w:rPr>
          <w:color w:val="6E6158"/>
        </w:rPr>
        <w:t>Publication, November 14, 2017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223869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546pt;width:1.65pt;height:1.65pt;mso-position-horizontal-relative:page;mso-position-vertical-relative:paragraph;z-index:15740928" id="docshape34" coordorigin="1675,353" coordsize="33,33" path="m1696,385l1687,385,1683,384,1676,377,1675,373,1675,364,1676,360,1683,354,1687,353,1696,353,1699,354,1706,360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7">
        <w:r>
          <w:rPr>
            <w:color w:val="F5821F"/>
          </w:rPr>
          <w:t>Service Account Cancellations, Financial Affairs and Powers of Attorney</w:t>
        </w:r>
      </w:hyperlink>
      <w:r>
        <w:rPr>
          <w:color w:val="6E6158"/>
        </w:rPr>
        <w:t>,” </w:t>
      </w:r>
      <w:r>
        <w:rPr>
          <w:color w:val="6E6158"/>
        </w:rPr>
        <w:t>Firm Publication, November 14, 2016</w:t>
      </w:r>
    </w:p>
    <w:p>
      <w:pPr>
        <w:pStyle w:val="BodyText"/>
        <w:spacing w:line="302" w:lineRule="auto" w:before="124"/>
        <w:ind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400pt;width:1.65pt;height:1.65pt;mso-position-horizontal-relative:page;mso-position-vertical-relative:paragraph;z-index:15741440" id="docshape3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8">
        <w:r>
          <w:rPr>
            <w:color w:val="F5821F"/>
          </w:rPr>
          <w:t>Answers to 3 Common Questions About Digital Assets</w:t>
        </w:r>
      </w:hyperlink>
      <w:r>
        <w:rPr>
          <w:color w:val="6E6158"/>
        </w:rPr>
        <w:t>,” Firm Publication, January</w:t>
      </w:r>
      <w:r>
        <w:rPr>
          <w:color w:val="6E6158"/>
          <w:spacing w:val="40"/>
        </w:rPr>
        <w:t> </w:t>
      </w:r>
      <w:r>
        <w:rPr>
          <w:color w:val="6E6158"/>
        </w:rPr>
        <w:t>29, 2016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2" w:lineRule="auto" w:before="88"/>
        <w:ind w:right="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952" id="docshape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2464" id="docshape3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2976" id="docshape38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30"/>
        </w:rPr>
        <w:t> </w:t>
      </w:r>
      <w:r>
        <w:rPr>
          <w:color w:val="6E6158"/>
        </w:rPr>
        <w:t>“</w:t>
      </w:r>
      <w:hyperlink r:id="rId29">
        <w:r>
          <w:rPr>
            <w:color w:val="F5821F"/>
          </w:rPr>
          <w:t>What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Durable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Power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Attorney</w:t>
        </w:r>
      </w:hyperlink>
      <w:r>
        <w:rPr>
          <w:color w:val="6E6158"/>
        </w:rPr>
        <w:t>?”</w:t>
      </w:r>
      <w:r>
        <w:rPr>
          <w:color w:val="6E6158"/>
          <w:spacing w:val="30"/>
        </w:rPr>
        <w:t> </w:t>
      </w:r>
      <w:r>
        <w:rPr>
          <w:color w:val="6E6158"/>
        </w:rPr>
        <w:t>Firm</w:t>
      </w:r>
      <w:r>
        <w:rPr>
          <w:color w:val="6E6158"/>
          <w:spacing w:val="30"/>
        </w:rPr>
        <w:t> </w:t>
      </w:r>
      <w:r>
        <w:rPr>
          <w:color w:val="6E6158"/>
        </w:rPr>
        <w:t>Publication,</w:t>
      </w:r>
      <w:r>
        <w:rPr>
          <w:color w:val="6E6158"/>
          <w:spacing w:val="30"/>
        </w:rPr>
        <w:t> </w:t>
      </w:r>
      <w:r>
        <w:rPr>
          <w:color w:val="6E6158"/>
        </w:rPr>
        <w:t>December</w:t>
      </w:r>
      <w:r>
        <w:rPr>
          <w:color w:val="6E6158"/>
          <w:spacing w:val="30"/>
        </w:rPr>
        <w:t> </w:t>
      </w:r>
      <w:r>
        <w:rPr>
          <w:color w:val="6E6158"/>
        </w:rPr>
        <w:t>15,</w:t>
      </w:r>
      <w:r>
        <w:rPr>
          <w:color w:val="6E6158"/>
          <w:spacing w:val="30"/>
        </w:rPr>
        <w:t> </w:t>
      </w:r>
      <w:r>
        <w:rPr>
          <w:color w:val="6E6158"/>
        </w:rPr>
        <w:t>2015 Co-Author,</w:t>
      </w:r>
      <w:r>
        <w:rPr>
          <w:color w:val="6E6158"/>
          <w:spacing w:val="27"/>
        </w:rPr>
        <w:t> </w:t>
      </w:r>
      <w:r>
        <w:rPr>
          <w:color w:val="6E6158"/>
        </w:rPr>
        <w:t>“</w:t>
      </w:r>
      <w:hyperlink r:id="rId30">
        <w:r>
          <w:rPr>
            <w:color w:val="F5821F"/>
          </w:rPr>
          <w:t>Estate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Planning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Really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For</w:t>
        </w:r>
      </w:hyperlink>
      <w:r>
        <w:rPr>
          <w:color w:val="6E6158"/>
        </w:rPr>
        <w:t>?”</w:t>
      </w:r>
      <w:r>
        <w:rPr>
          <w:color w:val="6E6158"/>
          <w:spacing w:val="27"/>
        </w:rPr>
        <w:t> </w:t>
      </w:r>
      <w:r>
        <w:rPr>
          <w:color w:val="6E6158"/>
        </w:rPr>
        <w:t>Firm</w:t>
      </w:r>
      <w:r>
        <w:rPr>
          <w:color w:val="6E6158"/>
          <w:spacing w:val="27"/>
        </w:rPr>
        <w:t> </w:t>
      </w:r>
      <w:r>
        <w:rPr>
          <w:color w:val="6E6158"/>
        </w:rPr>
        <w:t>Publication,</w:t>
      </w:r>
      <w:r>
        <w:rPr>
          <w:color w:val="6E6158"/>
          <w:spacing w:val="27"/>
        </w:rPr>
        <w:t> </w:t>
      </w:r>
      <w:r>
        <w:rPr>
          <w:color w:val="6E6158"/>
        </w:rPr>
        <w:t>September</w:t>
      </w:r>
      <w:r>
        <w:rPr>
          <w:color w:val="6E6158"/>
          <w:spacing w:val="27"/>
        </w:rPr>
        <w:t> </w:t>
      </w:r>
      <w:r>
        <w:rPr>
          <w:color w:val="6E6158"/>
        </w:rPr>
        <w:t>30,</w:t>
      </w:r>
      <w:r>
        <w:rPr>
          <w:color w:val="6E6158"/>
          <w:spacing w:val="27"/>
        </w:rPr>
        <w:t> </w:t>
      </w:r>
      <w:r>
        <w:rPr>
          <w:color w:val="6E6158"/>
        </w:rPr>
        <w:t>2015 Co-Author, “</w:t>
      </w:r>
      <w:hyperlink r:id="rId31">
        <w:r>
          <w:rPr>
            <w:color w:val="F5821F"/>
          </w:rPr>
          <w:t>HOA Rental Restrictions – Are They Valid</w:t>
        </w:r>
      </w:hyperlink>
      <w:r>
        <w:rPr>
          <w:color w:val="6E6158"/>
        </w:rPr>
        <w:t>?” Firm Publication, September 8, 2015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151956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65073pt;width:1.65pt;height:1.65pt;mso-position-horizontal-relative:page;mso-position-vertical-relative:paragraph;z-index:15743488" id="docshape39" coordorigin="1675,239" coordsize="33,33" path="m1696,272l1687,272,1683,270,1676,264,1675,260,1675,251,1676,247,1683,241,1687,239,1696,239,1699,241,1706,247,1707,251,1707,256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2">
        <w:r>
          <w:rPr>
            <w:color w:val="F5821F"/>
          </w:rPr>
          <w:t>CC&amp;R Amendment – Idaho Supreme Court Favors HOA Over Homeowner</w:t>
        </w:r>
      </w:hyperlink>
      <w:r>
        <w:rPr>
          <w:color w:val="6E6158"/>
        </w:rPr>
        <w:t>,” </w:t>
      </w:r>
      <w:r>
        <w:rPr>
          <w:color w:val="6E6158"/>
        </w:rPr>
        <w:t>Firm Publication, August 31, 2015</w:t>
      </w:r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142394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12172pt;width:1.65pt;height:1.65pt;mso-position-horizontal-relative:page;mso-position-vertical-relative:paragraph;z-index:15744000" id="docshape40" coordorigin="1675,224" coordsize="33,33" path="m1696,257l1687,257,1683,255,1676,249,1675,245,1675,236,1676,232,1683,226,1687,224,1696,224,1699,226,1706,232,1707,236,1707,241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33">
        <w:r>
          <w:rPr>
            <w:color w:val="F5821F"/>
          </w:rPr>
          <w:t>Subchapter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Election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Single-Member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Publication,</w:t>
      </w:r>
      <w:r>
        <w:rPr>
          <w:color w:val="6E6158"/>
          <w:spacing w:val="12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23,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268375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966pt;width:1.65pt;height:1.65pt;mso-position-horizontal-relative:page;mso-position-vertical-relative:paragraph;z-index:15744512" id="docshape4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4">
        <w:r>
          <w:rPr>
            <w:color w:val="F5821F"/>
          </w:rPr>
          <w:t>Estate Planning – Do I Need It If I’m Not Wealthy</w:t>
        </w:r>
      </w:hyperlink>
      <w:r>
        <w:rPr>
          <w:color w:val="6E6158"/>
        </w:rPr>
        <w:t>?” Firm Publication, January 29,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24"/>
        <w:ind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231088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94pt;width:1.65pt;height:1.65pt;mso-position-horizontal-relative:page;mso-position-vertical-relative:paragraph;z-index:15745024" id="docshape42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5">
        <w:r>
          <w:rPr>
            <w:color w:val="F5821F"/>
          </w:rPr>
          <w:t>Condominium Resale Certificate – Washington &amp; Idaho</w:t>
        </w:r>
      </w:hyperlink>
      <w:r>
        <w:rPr>
          <w:color w:val="6E6158"/>
        </w:rPr>
        <w:t>,” Firm </w:t>
      </w:r>
      <w:r>
        <w:rPr>
          <w:color w:val="6E6158"/>
        </w:rPr>
        <w:t>Publication, January 30, 2014</w:t>
      </w:r>
    </w:p>
    <w:p>
      <w:pPr>
        <w:pStyle w:val="Heading1"/>
        <w:spacing w:before="1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152854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77pt;width:1.65pt;height:1.65pt;mso-position-horizontal-relative:page;mso-position-vertical-relative:paragraph;z-index:15745536" id="docshape4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416387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396pt;width:1.65pt;height:1.65pt;mso-position-horizontal-relative:page;mso-position-vertical-relative:paragraph;z-index:15746048" id="docshape44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Property, Probate and Trust Section, Washington State Bar </w:t>
      </w:r>
      <w:r>
        <w:rPr>
          <w:color w:val="6E6158"/>
        </w:rPr>
        <w:t>Association Member, Spokane County Bar Association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035pt;width:1.65pt;height:1.65pt;mso-position-horizontal-relative:page;mso-position-vertical-relative:paragraph;z-index:15746560" id="docshape4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175324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079pt;width:1.65pt;height:1.65pt;mso-position-horizontal-relative:page;mso-position-vertical-relative:paragraph;z-index:15747072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175361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997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bsullivan@fennemorelaw.com" TargetMode="External"/><Relationship Id="rId11" Type="http://schemas.openxmlformats.org/officeDocument/2006/relationships/hyperlink" Target="https://www.fennemorelaw.com/transfer-on-death-deed-in-washington-state-what-it-is-and-how-it-works/" TargetMode="External"/><Relationship Id="rId12" Type="http://schemas.openxmlformats.org/officeDocument/2006/relationships/hyperlink" Target="https://www.fennemorelaw.com/danger-ahead-transferring-real-estate-trust/" TargetMode="External"/><Relationship Id="rId13" Type="http://schemas.openxmlformats.org/officeDocument/2006/relationships/hyperlink" Target="https://www.fennemorelaw.com/when-should-i-use-a-quit-claim-deed/" TargetMode="External"/><Relationship Id="rId14" Type="http://schemas.openxmlformats.org/officeDocument/2006/relationships/hyperlink" Target="https://www.fennemorelaw.com/i-sold-my-property-on-contract-and-the-buyer-isnt-paying-what-can-i-do-exploring-options-for-defaults-on-seller-financing/" TargetMode="External"/><Relationship Id="rId15" Type="http://schemas.openxmlformats.org/officeDocument/2006/relationships/hyperlink" Target="https://www.fennemorelaw.com/navigating-probate-in-washington-guide-for-surviving-spouse/" TargetMode="External"/><Relationship Id="rId16" Type="http://schemas.openxmlformats.org/officeDocument/2006/relationships/hyperlink" Target="https://www.fennemorelaw.com/washington-home-sellers-must-make-required-disclosures/" TargetMode="External"/><Relationship Id="rId17" Type="http://schemas.openxmlformats.org/officeDocument/2006/relationships/hyperlink" Target="https://www.fennemorelaw.com/top-five-things-to-know-about-shared-driveway-easements/" TargetMode="External"/><Relationship Id="rId18" Type="http://schemas.openxmlformats.org/officeDocument/2006/relationships/hyperlink" Target="https://www.fennemorelaw.com/easements-101-everything-you-need-to-know/" TargetMode="External"/><Relationship Id="rId19" Type="http://schemas.openxmlformats.org/officeDocument/2006/relationships/hyperlink" Target="https://www.fennemorelaw.com/idaho-legislature-acts-on-rental-restrictions/" TargetMode="External"/><Relationship Id="rId20" Type="http://schemas.openxmlformats.org/officeDocument/2006/relationships/hyperlink" Target="https://www.fennemorelaw.com/six-things-to-consider-before-putting-your-home-on-the-market/" TargetMode="External"/><Relationship Id="rId21" Type="http://schemas.openxmlformats.org/officeDocument/2006/relationships/hyperlink" Target="https://www.fennemorelaw.com/how-do-i-add-someone-to-my-propertys-title/" TargetMode="External"/><Relationship Id="rId22" Type="http://schemas.openxmlformats.org/officeDocument/2006/relationships/hyperlink" Target="https://www.fennemorelaw.com/should-i-waive-the-inspection-contingency/" TargetMode="External"/><Relationship Id="rId23" Type="http://schemas.openxmlformats.org/officeDocument/2006/relationships/hyperlink" Target="https://www.fennemorelaw.com/should-i-diy-my-real-estate-purchase-the-quick-answer-is-no/" TargetMode="External"/><Relationship Id="rId24" Type="http://schemas.openxmlformats.org/officeDocument/2006/relationships/hyperlink" Target="https://www.fennemorelaw.com/changes-to-washington-real-estate-excise-tax/" TargetMode="External"/><Relationship Id="rId25" Type="http://schemas.openxmlformats.org/officeDocument/2006/relationships/hyperlink" Target="https://fennemorelaw.com/startup-business-law-how-do-i-protect-my-personal-assets/" TargetMode="External"/><Relationship Id="rId26" Type="http://schemas.openxmlformats.org/officeDocument/2006/relationships/hyperlink" Target="https://www.fennemorelaw.com/changes-llc-corporation-filings-washington/" TargetMode="External"/><Relationship Id="rId27" Type="http://schemas.openxmlformats.org/officeDocument/2006/relationships/hyperlink" Target="https://www.fennemorelaw.com/service-account-cancellations-financial-affairs-powers-attorney/" TargetMode="External"/><Relationship Id="rId28" Type="http://schemas.openxmlformats.org/officeDocument/2006/relationships/hyperlink" Target="https://www.fennemorelaw.com/answers-3-common-questions-digital-assets/" TargetMode="External"/><Relationship Id="rId29" Type="http://schemas.openxmlformats.org/officeDocument/2006/relationships/hyperlink" Target="https://www.fennemorelaw.com/what-is-a-durable-power-of-attorney/" TargetMode="External"/><Relationship Id="rId30" Type="http://schemas.openxmlformats.org/officeDocument/2006/relationships/hyperlink" Target="https://www.fennemorelaw.com/estate-planning-who-is-it-really-for/" TargetMode="External"/><Relationship Id="rId31" Type="http://schemas.openxmlformats.org/officeDocument/2006/relationships/hyperlink" Target="https://www.fennemorelaw.com/hoa-rental-restrictions-are-they-valid/" TargetMode="External"/><Relationship Id="rId32" Type="http://schemas.openxmlformats.org/officeDocument/2006/relationships/hyperlink" Target="https://www.fennemorelaw.com/ccr-amendment-idaho-supreme-court-favors-hoa-over-homeowner/" TargetMode="External"/><Relationship Id="rId33" Type="http://schemas.openxmlformats.org/officeDocument/2006/relationships/hyperlink" Target="https://www.fennemorelaw.com/subchapter-s-election-for-a-single-member-llc/" TargetMode="External"/><Relationship Id="rId34" Type="http://schemas.openxmlformats.org/officeDocument/2006/relationships/hyperlink" Target="https://www.fennemorelaw.com/why-do-i-need-estate-planning/" TargetMode="External"/><Relationship Id="rId35" Type="http://schemas.openxmlformats.org/officeDocument/2006/relationships/hyperlink" Target="https://www.fennemorelaw.com/condominium-resale-certificat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2025-05-01T16:29:19Z</dcterms:created>
  <dcterms:modified xsi:type="dcterms:W3CDTF">2025-05-01T16:29:19Z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