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78283" y="763308"/>
                            <a:ext cx="19558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CHRISTOPHER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BROWN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6382" y="2500373"/>
                            <a:ext cx="1479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cbrown@fennemorelaw.com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29533" y="3756030"/>
                            <a:ext cx="162369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 Miss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Shot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 Don’t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Take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Benjamin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Hardy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8205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CHRISTOPHER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BROWN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76;top:1762;width:3080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CHRISTOPHER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BROWN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51;top:4497;width:233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cbrown@fennemorelaw.com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52;top:6475;width:2557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 Miss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Every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Shot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 Don’t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Take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Benjamin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Hardy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86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CHRISTOPHER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BROWN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270"/>
      </w:pPr>
      <w:r>
        <w:rPr>
          <w:color w:val="6E6158"/>
        </w:rPr>
        <w:t>Chris Brown has extensive knowledge in real estate, energy, water, land use, environmental, title</w:t>
      </w:r>
      <w:r>
        <w:rPr>
          <w:color w:val="6E6158"/>
          <w:spacing w:val="40"/>
        </w:rPr>
        <w:t> </w:t>
      </w:r>
      <w:r>
        <w:rPr>
          <w:color w:val="6E6158"/>
        </w:rPr>
        <w:t>insurance, non-profit, secured transactions/banking, and entity formation areas of law. Clients</w:t>
      </w:r>
      <w:r>
        <w:rPr>
          <w:color w:val="6E6158"/>
          <w:spacing w:val="40"/>
        </w:rPr>
        <w:t> </w:t>
      </w:r>
      <w:r>
        <w:rPr>
          <w:color w:val="6E6158"/>
        </w:rPr>
        <w:t>come to him for more than black-letter law; they seek out his over 30 years of experience,</w:t>
      </w:r>
      <w:r>
        <w:rPr>
          <w:color w:val="6E6158"/>
          <w:spacing w:val="40"/>
        </w:rPr>
        <w:t> </w:t>
      </w:r>
      <w:r>
        <w:rPr>
          <w:color w:val="6E6158"/>
        </w:rPr>
        <w:t>including his practical knowledge, and business understanding and application.</w:t>
      </w:r>
      <w:r>
        <w:rPr>
          <w:color w:val="6E6158"/>
          <w:spacing w:val="80"/>
        </w:rPr>
        <w:t> </w:t>
      </w:r>
      <w:r>
        <w:rPr>
          <w:color w:val="6E6158"/>
        </w:rPr>
        <w:t>Chris’s clients find they not only achieve their goals, but they exceed them.</w:t>
      </w:r>
    </w:p>
    <w:p>
      <w:pPr>
        <w:pStyle w:val="BodyText"/>
        <w:spacing w:before="203"/>
        <w:ind w:left="104"/>
      </w:pPr>
      <w:r>
        <w:rPr>
          <w:color w:val="6E6158"/>
        </w:rPr>
        <w:t>Establishing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reputation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foundation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friendly,</w:t>
      </w:r>
      <w:r>
        <w:rPr>
          <w:color w:val="6E6158"/>
          <w:spacing w:val="13"/>
        </w:rPr>
        <w:t> </w:t>
      </w:r>
      <w:r>
        <w:rPr>
          <w:color w:val="6E6158"/>
        </w:rPr>
        <w:t>welcoming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comforting</w:t>
      </w:r>
    </w:p>
    <w:p>
      <w:pPr>
        <w:pStyle w:val="BodyText"/>
        <w:spacing w:line="295" w:lineRule="auto" w:before="52"/>
        <w:ind w:left="104" w:right="270"/>
      </w:pPr>
      <w:r>
        <w:rPr>
          <w:color w:val="6E6158"/>
        </w:rPr>
        <w:t>personality, Chris likes creating and critical thinking where the end product is substantive, like a</w:t>
      </w:r>
      <w:r>
        <w:rPr>
          <w:color w:val="6E6158"/>
          <w:spacing w:val="40"/>
        </w:rPr>
        <w:t> </w:t>
      </w:r>
      <w:r>
        <w:rPr>
          <w:color w:val="6E6158"/>
        </w:rPr>
        <w:t>new facility or non-profit. His experience also includes representing landowners, developers,</w:t>
      </w:r>
      <w:r>
        <w:rPr>
          <w:color w:val="6E6158"/>
          <w:spacing w:val="40"/>
        </w:rPr>
        <w:t> </w:t>
      </w:r>
      <w:r>
        <w:rPr>
          <w:color w:val="6E6158"/>
        </w:rPr>
        <w:t>agriculture, energy companies, business owners, lenders, title companies, banks, non-profits,</w:t>
      </w:r>
      <w:r>
        <w:rPr>
          <w:color w:val="6E6158"/>
          <w:spacing w:val="40"/>
        </w:rPr>
        <w:t> </w:t>
      </w:r>
      <w:r>
        <w:rPr>
          <w:color w:val="6E6158"/>
        </w:rPr>
        <w:t>funeral and cemetery establishments, and government entities. Chris has guided private and</w:t>
      </w:r>
      <w:r>
        <w:rPr>
          <w:color w:val="6E6158"/>
          <w:spacing w:val="40"/>
        </w:rPr>
        <w:t> </w:t>
      </w:r>
      <w:r>
        <w:rPr>
          <w:color w:val="6E6158"/>
        </w:rPr>
        <w:t>public clients through all aspects of real estate and business transactions from acquisitions and</w:t>
      </w:r>
      <w:r>
        <w:rPr>
          <w:color w:val="6E6158"/>
          <w:spacing w:val="40"/>
        </w:rPr>
        <w:t> </w:t>
      </w:r>
      <w:r>
        <w:rPr>
          <w:color w:val="6E6158"/>
        </w:rPr>
        <w:t>financing,</w:t>
      </w:r>
      <w:r>
        <w:rPr>
          <w:color w:val="6E6158"/>
          <w:spacing w:val="31"/>
        </w:rPr>
        <w:t> </w:t>
      </w:r>
      <w:r>
        <w:rPr>
          <w:color w:val="6E6158"/>
        </w:rPr>
        <w:t>entity</w:t>
      </w:r>
      <w:r>
        <w:rPr>
          <w:color w:val="6E6158"/>
          <w:spacing w:val="31"/>
        </w:rPr>
        <w:t> </w:t>
      </w:r>
      <w:r>
        <w:rPr>
          <w:color w:val="6E6158"/>
        </w:rPr>
        <w:t>formation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guidance,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permitting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development,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holding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</w:p>
    <w:p>
      <w:pPr>
        <w:pStyle w:val="BodyText"/>
        <w:spacing w:line="297" w:lineRule="auto"/>
        <w:ind w:left="104" w:right="270"/>
      </w:pPr>
      <w:r>
        <w:rPr>
          <w:color w:val="6E6158"/>
        </w:rPr>
        <w:t>investment or disposition for profit or reinvestment. In addition, should a dispute develop, he </w:t>
      </w:r>
      <w:r>
        <w:rPr>
          <w:color w:val="6E6158"/>
        </w:rPr>
        <w:t>will</w:t>
      </w:r>
      <w:r>
        <w:rPr>
          <w:color w:val="6E6158"/>
          <w:spacing w:val="40"/>
        </w:rPr>
        <w:t> </w:t>
      </w:r>
      <w:r>
        <w:rPr>
          <w:color w:val="6E6158"/>
        </w:rPr>
        <w:t>work closely with the firm’s civil litigation and dispute resolution group to resolve the matter. His</w:t>
      </w:r>
      <w:r>
        <w:rPr>
          <w:color w:val="6E6158"/>
          <w:spacing w:val="40"/>
        </w:rPr>
        <w:t> </w:t>
      </w:r>
      <w:r>
        <w:rPr>
          <w:color w:val="6E6158"/>
        </w:rPr>
        <w:t>pragmatic</w:t>
      </w:r>
      <w:r>
        <w:rPr>
          <w:color w:val="6E6158"/>
          <w:spacing w:val="30"/>
        </w:rPr>
        <w:t> </w:t>
      </w:r>
      <w:r>
        <w:rPr>
          <w:color w:val="6E6158"/>
        </w:rPr>
        <w:t>approach</w:t>
      </w:r>
      <w:r>
        <w:rPr>
          <w:color w:val="6E6158"/>
          <w:spacing w:val="30"/>
        </w:rPr>
        <w:t> </w:t>
      </w:r>
      <w:r>
        <w:rPr>
          <w:color w:val="6E6158"/>
        </w:rPr>
        <w:t>allows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achieve</w:t>
      </w:r>
      <w:r>
        <w:rPr>
          <w:color w:val="6E6158"/>
          <w:spacing w:val="30"/>
        </w:rPr>
        <w:t> </w:t>
      </w:r>
      <w:r>
        <w:rPr>
          <w:color w:val="6E6158"/>
        </w:rPr>
        <w:t>an</w:t>
      </w:r>
      <w:r>
        <w:rPr>
          <w:color w:val="6E6158"/>
          <w:spacing w:val="30"/>
        </w:rPr>
        <w:t> </w:t>
      </w:r>
      <w:r>
        <w:rPr>
          <w:color w:val="6E6158"/>
        </w:rPr>
        <w:t>objective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cost-effective</w:t>
      </w:r>
      <w:r>
        <w:rPr>
          <w:color w:val="6E6158"/>
          <w:spacing w:val="30"/>
        </w:rPr>
        <w:t> </w:t>
      </w:r>
      <w:r>
        <w:rPr>
          <w:color w:val="6E6158"/>
        </w:rPr>
        <w:t>manner.</w:t>
      </w:r>
    </w:p>
    <w:p>
      <w:pPr>
        <w:pStyle w:val="BodyText"/>
        <w:spacing w:line="302" w:lineRule="auto" w:before="189"/>
        <w:ind w:left="104" w:right="270"/>
      </w:pPr>
      <w:r>
        <w:rPr>
          <w:color w:val="6E6158"/>
        </w:rPr>
        <w:t>Chris has experience representing clients before city councils, board of supervisors, planning</w:t>
      </w:r>
      <w:r>
        <w:rPr>
          <w:color w:val="6E6158"/>
          <w:spacing w:val="40"/>
        </w:rPr>
        <w:t> </w:t>
      </w:r>
      <w:r>
        <w:rPr>
          <w:color w:val="6E6158"/>
        </w:rPr>
        <w:t>commissions,</w:t>
      </w:r>
      <w:r>
        <w:rPr>
          <w:color w:val="6E6158"/>
          <w:spacing w:val="20"/>
        </w:rPr>
        <w:t> </w:t>
      </w:r>
      <w:r>
        <w:rPr>
          <w:color w:val="6E6158"/>
        </w:rPr>
        <w:t>regulatory</w:t>
      </w:r>
      <w:r>
        <w:rPr>
          <w:color w:val="6E6158"/>
          <w:spacing w:val="20"/>
        </w:rPr>
        <w:t> </w:t>
      </w:r>
      <w:r>
        <w:rPr>
          <w:color w:val="6E6158"/>
        </w:rPr>
        <w:t>agencies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community</w:t>
      </w:r>
      <w:r>
        <w:rPr>
          <w:color w:val="6E6158"/>
          <w:spacing w:val="20"/>
        </w:rPr>
        <w:t> </w:t>
      </w:r>
      <w:r>
        <w:rPr>
          <w:color w:val="6E6158"/>
        </w:rPr>
        <w:t>organizations.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representation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his</w:t>
      </w:r>
      <w:r>
        <w:rPr>
          <w:color w:val="6E6158"/>
          <w:spacing w:val="20"/>
        </w:rPr>
        <w:t> </w:t>
      </w:r>
      <w:r>
        <w:rPr>
          <w:color w:val="6E6158"/>
        </w:rPr>
        <w:t>title</w:t>
      </w:r>
    </w:p>
    <w:p>
      <w:pPr>
        <w:pStyle w:val="BodyText"/>
        <w:spacing w:line="295" w:lineRule="auto"/>
        <w:ind w:left="104" w:right="53"/>
      </w:pPr>
      <w:r>
        <w:rPr>
          <w:color w:val="6E6158"/>
        </w:rPr>
        <w:t>company clients and their insureds in title and escrow litigation provides added value to his real</w:t>
      </w:r>
      <w:r>
        <w:rPr>
          <w:color w:val="6E6158"/>
          <w:spacing w:val="40"/>
        </w:rPr>
        <w:t> </w:t>
      </w:r>
      <w:r>
        <w:rPr>
          <w:color w:val="6E6158"/>
        </w:rPr>
        <w:t>estate clients. His environmental legal services include representing clients through all facets of</w:t>
      </w:r>
      <w:r>
        <w:rPr>
          <w:color w:val="6E6158"/>
          <w:spacing w:val="40"/>
        </w:rPr>
        <w:t> </w:t>
      </w:r>
      <w:r>
        <w:rPr>
          <w:color w:val="6E6158"/>
        </w:rPr>
        <w:t>regulatory and legal hurdles related to compliance and cleanup, including UST and superfund</w:t>
      </w:r>
      <w:r>
        <w:rPr>
          <w:color w:val="6E6158"/>
          <w:spacing w:val="40"/>
        </w:rPr>
        <w:t> </w:t>
      </w:r>
      <w:r>
        <w:rPr>
          <w:color w:val="6E6158"/>
        </w:rPr>
        <w:t>cleanups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regulatory</w:t>
      </w:r>
      <w:r>
        <w:rPr>
          <w:color w:val="6E6158"/>
          <w:spacing w:val="32"/>
        </w:rPr>
        <w:t> </w:t>
      </w:r>
      <w:r>
        <w:rPr>
          <w:color w:val="6E6158"/>
        </w:rPr>
        <w:t>violations.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representation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companies</w:t>
      </w:r>
      <w:r>
        <w:rPr>
          <w:color w:val="6E6158"/>
          <w:spacing w:val="32"/>
        </w:rPr>
        <w:t> </w:t>
      </w:r>
      <w:r>
        <w:rPr>
          <w:color w:val="6E6158"/>
        </w:rPr>
        <w:t>engaged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oil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gas, wind power, solar power and other alternative energy projects includes development, </w:t>
      </w:r>
      <w:r>
        <w:rPr>
          <w:color w:val="6E6158"/>
        </w:rPr>
        <w:t>financing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operation.</w:t>
      </w:r>
      <w:r>
        <w:rPr>
          <w:color w:val="6E6158"/>
          <w:spacing w:val="25"/>
        </w:rPr>
        <w:t> </w:t>
      </w:r>
      <w:r>
        <w:rPr>
          <w:color w:val="6E6158"/>
        </w:rPr>
        <w:t>Chris</w:t>
      </w:r>
      <w:r>
        <w:rPr>
          <w:color w:val="6E6158"/>
          <w:spacing w:val="25"/>
        </w:rPr>
        <w:t> </w:t>
      </w:r>
      <w:r>
        <w:rPr>
          <w:color w:val="6E6158"/>
        </w:rPr>
        <w:t>takes</w:t>
      </w:r>
      <w:r>
        <w:rPr>
          <w:color w:val="6E6158"/>
          <w:spacing w:val="25"/>
        </w:rPr>
        <w:t> </w:t>
      </w:r>
      <w:r>
        <w:rPr>
          <w:color w:val="6E6158"/>
        </w:rPr>
        <w:t>great</w:t>
      </w:r>
      <w:r>
        <w:rPr>
          <w:color w:val="6E6158"/>
          <w:spacing w:val="25"/>
        </w:rPr>
        <w:t> </w:t>
      </w:r>
      <w:r>
        <w:rPr>
          <w:color w:val="6E6158"/>
        </w:rPr>
        <w:t>pride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being</w:t>
      </w:r>
      <w:r>
        <w:rPr>
          <w:color w:val="6E6158"/>
          <w:spacing w:val="25"/>
        </w:rPr>
        <w:t> </w:t>
      </w:r>
      <w:r>
        <w:rPr>
          <w:color w:val="6E6158"/>
        </w:rPr>
        <w:t>able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foresee</w:t>
      </w:r>
      <w:r>
        <w:rPr>
          <w:color w:val="6E6158"/>
          <w:spacing w:val="25"/>
        </w:rPr>
        <w:t> </w:t>
      </w:r>
      <w:r>
        <w:rPr>
          <w:color w:val="6E6158"/>
        </w:rPr>
        <w:t>hurdles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advance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taking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345"/>
      </w:pPr>
      <w:r>
        <w:rPr>
          <w:color w:val="6E6158"/>
        </w:rPr>
        <w:t>early action to counter, in order to bring about his client’s goal, often time without the client</w:t>
      </w:r>
      <w:r>
        <w:rPr>
          <w:color w:val="6E6158"/>
          <w:spacing w:val="40"/>
        </w:rPr>
        <w:t> </w:t>
      </w:r>
      <w:r>
        <w:rPr>
          <w:color w:val="6E6158"/>
        </w:rPr>
        <w:t>even knowing how it could have turned out if he wasn’t so forward-thinking. His non-profit work</w:t>
      </w:r>
      <w:r>
        <w:rPr>
          <w:color w:val="6E6158"/>
          <w:spacing w:val="40"/>
        </w:rPr>
        <w:t> </w:t>
      </w:r>
      <w:r>
        <w:rPr>
          <w:color w:val="6E6158"/>
        </w:rPr>
        <w:t>gives also gives his life and career deep satisfaction.</w:t>
      </w:r>
    </w:p>
    <w:p>
      <w:pPr>
        <w:pStyle w:val="BodyText"/>
        <w:spacing w:line="292" w:lineRule="auto" w:before="192"/>
        <w:ind w:left="104" w:right="270"/>
      </w:pPr>
      <w:r>
        <w:rPr>
          <w:color w:val="6E6158"/>
        </w:rPr>
        <w:t>Chris cherishes his family time, when he’s lucky enough to have time with his adult children, time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wife,</w:t>
      </w:r>
      <w:r>
        <w:rPr>
          <w:color w:val="6E6158"/>
          <w:spacing w:val="28"/>
        </w:rPr>
        <w:t> </w:t>
      </w:r>
      <w:r>
        <w:rPr>
          <w:color w:val="6E6158"/>
        </w:rPr>
        <w:t>along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hiking,</w:t>
      </w:r>
      <w:r>
        <w:rPr>
          <w:color w:val="6E6158"/>
          <w:spacing w:val="27"/>
        </w:rPr>
        <w:t> </w:t>
      </w:r>
      <w:r>
        <w:rPr>
          <w:color w:val="6E6158"/>
        </w:rPr>
        <w:t>skiing,</w:t>
      </w:r>
      <w:r>
        <w:rPr>
          <w:color w:val="6E6158"/>
          <w:spacing w:val="28"/>
        </w:rPr>
        <w:t> </w:t>
      </w:r>
      <w:r>
        <w:rPr>
          <w:color w:val="6E6158"/>
        </w:rPr>
        <w:t>rafting,</w:t>
      </w:r>
      <w:r>
        <w:rPr>
          <w:color w:val="6E6158"/>
          <w:spacing w:val="27"/>
        </w:rPr>
        <w:t> </w:t>
      </w:r>
      <w:r>
        <w:rPr>
          <w:color w:val="6E6158"/>
        </w:rPr>
        <w:t>watching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good</w:t>
      </w:r>
      <w:r>
        <w:rPr>
          <w:color w:val="6E6158"/>
          <w:spacing w:val="28"/>
        </w:rPr>
        <w:t> </w:t>
      </w:r>
      <w:r>
        <w:rPr>
          <w:color w:val="6E6158"/>
        </w:rPr>
        <w:t>movie,</w:t>
      </w:r>
      <w:r>
        <w:rPr>
          <w:color w:val="6E6158"/>
          <w:spacing w:val="27"/>
        </w:rPr>
        <w:t> </w:t>
      </w:r>
      <w:r>
        <w:rPr>
          <w:color w:val="6E6158"/>
        </w:rPr>
        <w:t>Peloton</w:t>
      </w:r>
      <w:r>
        <w:rPr>
          <w:color w:val="6E6158"/>
          <w:spacing w:val="28"/>
        </w:rPr>
        <w:t> </w:t>
      </w:r>
      <w:r>
        <w:rPr>
          <w:color w:val="6E6158"/>
        </w:rPr>
        <w:t>cycling,</w:t>
      </w:r>
      <w:r>
        <w:rPr>
          <w:color w:val="6E6158"/>
          <w:spacing w:val="27"/>
        </w:rPr>
        <w:t> </w:t>
      </w:r>
      <w:r>
        <w:rPr>
          <w:color w:val="6E6158"/>
        </w:rPr>
        <w:t>walks, and having a good sense of humor to get through the stressful times of our work.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4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434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416078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058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B.S., Occidental College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59369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4793pt;width:1.65pt;height:1.65pt;mso-position-horizontal-relative:page;mso-position-vertical-relative:paragraph;z-index:15730176" id="docshape18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</w:t>
      </w:r>
      <w:r>
        <w:rPr>
          <w:color w:val="6E6158"/>
          <w:spacing w:val="26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56" w:right="4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174976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713pt;width:1.65pt;height:1.65pt;mso-position-horizontal-relative:page;mso-position-vertical-relative:paragraph;z-index:15730688" id="docshape19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433342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1464pt;width:1.65pt;height:1.65pt;mso-position-horizontal-relative:page;mso-position-vertical-relative:paragraph;z-index:15731200" id="docshape2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 and Tax-Exempt </w:t>
      </w:r>
      <w:r>
        <w:rPr>
          <w:color w:val="6E6158"/>
        </w:rPr>
        <w:t>Organizations Title Insurance Law</w:t>
      </w:r>
    </w:p>
    <w:p>
      <w:pPr>
        <w:pStyle w:val="BodyText"/>
        <w:spacing w:line="420" w:lineRule="auto" w:before="6"/>
        <w:ind w:left="356"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63477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243pt;width:1.65pt;height:1.65pt;mso-position-horizontal-relative:page;mso-position-vertical-relative:paragraph;z-index:15731712" id="docshape2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327010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48867pt;width:1.65pt;height:1.65pt;mso-position-horizontal-relative:page;mso-position-vertical-relative:paragraph;z-index:15732224" id="docshape22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585376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92617pt;width:1.65pt;height:1.65pt;mso-position-horizontal-relative:page;mso-position-vertical-relative:paragraph;z-index:15732736" id="docshape23" coordorigin="1675,922" coordsize="33,33" path="m1696,954l1687,954,1683,953,1676,946,1675,943,1675,934,1676,930,1683,923,1687,922,1696,922,1699,923,1706,930,1707,934,1707,938,1707,943,1706,946,1699,953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843741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36363pt;width:1.65pt;height:1.65pt;mso-position-horizontal-relative:page;mso-position-vertical-relative:paragraph;z-index:15733248" id="docshape24" coordorigin="1675,1329" coordsize="33,33" path="m1696,1361l1687,1361,1683,1360,1676,1353,1675,1349,1675,1341,1676,1337,1683,1330,1687,1329,1696,1329,1699,1330,1706,1337,1707,1341,1707,1345,1707,1349,1706,1353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80"/>
        </w:rPr>
        <w:t> </w:t>
      </w:r>
      <w:r>
        <w:rPr>
          <w:color w:val="6E6158"/>
        </w:rPr>
        <w:t>Natural Resources 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 w:before="5"/>
        <w:ind w:left="356"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62816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6186pt;width:1.65pt;height:1.65pt;mso-position-horizontal-relative:page;mso-position-vertical-relative:paragraph;z-index:15733760" id="docshape25" coordorigin="1675,99" coordsize="33,33" path="m1696,131l1687,131,1683,130,1676,124,1675,120,1675,111,1676,107,1683,101,1687,99,1696,99,1699,101,1706,107,1707,111,1707,115,1707,120,1706,124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326349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968pt;width:1.65pt;height:1.65pt;mso-position-horizontal-relative:page;mso-position-vertical-relative:paragraph;z-index:15734272" id="docshape26" coordorigin="1675,514" coordsize="33,33" path="m1696,546l1687,546,1683,545,1676,539,1675,535,1675,526,1676,522,1683,516,1687,514,1696,514,1699,516,1706,522,1707,526,1707,530,1707,535,1706,539,1699,545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584714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40543pt;width:1.65pt;height:1.65pt;mso-position-horizontal-relative:page;mso-position-vertical-relative:paragraph;z-index:15734784" id="docshape27" coordorigin="1675,921" coordsize="33,33" path="m1696,953l1687,953,1683,952,1676,945,1675,942,1675,933,1676,929,1683,922,1687,921,1696,921,1699,922,1706,929,1707,933,1707,937,1707,942,1706,945,1699,952,1696,9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Advanced </w:t>
      </w:r>
      <w:r>
        <w:rPr>
          <w:color w:val="6E6158"/>
        </w:rPr>
        <w:t>Energy Food &amp; Beverage</w:t>
      </w:r>
    </w:p>
    <w:p>
      <w:pPr>
        <w:pStyle w:val="Heading1"/>
        <w:spacing w:before="16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152777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712pt;width:1.65pt;height:1.65pt;mso-position-horizontal-relative:page;mso-position-vertical-relative:paragraph;z-index:15735296" id="docshape2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21"/>
        </w:rPr>
        <w:t> </w:t>
      </w:r>
      <w:r>
        <w:rPr>
          <w:color w:val="6E6158"/>
        </w:rPr>
        <w:t>American</w:t>
      </w:r>
      <w:r>
        <w:rPr>
          <w:color w:val="6E6158"/>
          <w:spacing w:val="22"/>
        </w:rPr>
        <w:t> </w:t>
      </w:r>
      <w:r>
        <w:rPr>
          <w:color w:val="6E6158"/>
        </w:rPr>
        <w:t>Jurisprudence</w:t>
      </w:r>
      <w:r>
        <w:rPr>
          <w:color w:val="6E6158"/>
          <w:spacing w:val="22"/>
        </w:rPr>
        <w:t> </w:t>
      </w:r>
      <w:r>
        <w:rPr>
          <w:color w:val="6E6158"/>
          <w:spacing w:val="-4"/>
        </w:rPr>
        <w:t>Award</w:t>
      </w:r>
    </w:p>
    <w:p>
      <w:pPr>
        <w:pStyle w:val="BodyText"/>
        <w:spacing w:before="16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185373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96366pt;width:1.65pt;height:1.65pt;mso-position-horizontal-relative:page;mso-position-vertical-relative:paragraph;z-index:15735808" id="docshape29" coordorigin="1675,292" coordsize="33,33" path="m1696,324l1687,324,1683,323,1676,317,1675,313,1675,304,1676,300,1683,294,1687,292,1696,292,1699,294,1706,300,1707,304,1707,308,1707,313,1706,317,1699,323,1696,3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9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251100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1666pt;width:1.65pt;height:1.65pt;mso-position-horizontal-relative:page;mso-position-vertical-relative:paragraph;z-index:15736320" id="docshape30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1">
        <w:r>
          <w:rPr>
            <w:color w:val="F5821F"/>
          </w:rPr>
          <w:t>A dog and his lawyer: What it takes to represent Victor E. Bulldog IV</w:t>
        </w:r>
      </w:hyperlink>
      <w:r>
        <w:rPr>
          <w:color w:val="6E6158"/>
        </w:rPr>
        <w:t>,” The Business Journal, July 30, 2024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224203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3831pt;width:1.65pt;height:1.65pt;mso-position-horizontal-relative:page;mso-position-vertical-relative:paragraph;z-index:15736832" id="docshape31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2">
        <w:r>
          <w:rPr>
            <w:color w:val="F5821F"/>
          </w:rPr>
          <w:t>A dog and his lawyer: What it takes to represent Victor E. Bulldog IV</w:t>
        </w:r>
      </w:hyperlink>
      <w:r>
        <w:rPr>
          <w:color w:val="6E6158"/>
        </w:rPr>
        <w:t>,” The Business Journal, July 19, 2024</w:t>
      </w:r>
    </w:p>
    <w:p>
      <w:pPr>
        <w:pStyle w:val="BodyText"/>
        <w:spacing w:line="302" w:lineRule="auto" w:before="123"/>
        <w:ind w:left="356" w:right="2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235898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686pt;width:1.65pt;height:1.65pt;mso-position-horizontal-relative:page;mso-position-vertical-relative:paragraph;z-index:15737344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Legal Leashes and Canine Contracts: Protecting the Legal Rights of Fresno State’s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Furry Icon</w:t>
        </w:r>
      </w:hyperlink>
      <w:r>
        <w:rPr>
          <w:color w:val="6E6158"/>
        </w:rPr>
        <w:t>,” Fennemore Blog, June 17, 2024</w:t>
      </w:r>
    </w:p>
    <w:p>
      <w:pPr>
        <w:pStyle w:val="BodyText"/>
        <w:spacing w:line="292" w:lineRule="auto" w:before="113"/>
        <w:ind w:left="356" w:right="2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224241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828pt;width:1.65pt;height:1.65pt;mso-position-horizontal-relative:page;mso-position-vertical-relative:paragraph;z-index:15737856" id="docshape3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Interview, ” A Conversation on Leadership and Life in the Law,” Fennemore Blog, December 1,</w:t>
        </w:r>
      </w:hyperlink>
      <w:r>
        <w:rPr>
          <w:color w:val="F5821F"/>
          <w:spacing w:val="40"/>
        </w:rPr>
        <w:t> </w:t>
      </w:r>
      <w:hyperlink r:id="rId14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142925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938pt;width:1.65pt;height:1.65pt;mso-position-horizontal-relative:page;mso-position-vertical-relative:paragraph;z-index:15738368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Interview,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“Central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Valley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Talk,”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CentralValleyTalk.com,</w:t>
        </w:r>
      </w:hyperlink>
      <w:r>
        <w:rPr>
          <w:color w:val="FF8100"/>
          <w:spacing w:val="9"/>
        </w:rPr>
        <w:t> </w:t>
      </w:r>
      <w:hyperlink r:id="rId15">
        <w:r>
          <w:rPr>
            <w:color w:val="FF8100"/>
          </w:rPr>
          <w:t>February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19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38880" id="docshape3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39392" id="docshape3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Fresno County Economic Development </w:t>
      </w:r>
      <w:r>
        <w:rPr>
          <w:color w:val="6E6158"/>
        </w:rPr>
        <w:t>Corporation Member, California Land Title Association</w:t>
      </w:r>
    </w:p>
    <w:p>
      <w:pPr>
        <w:pStyle w:val="BodyText"/>
        <w:spacing w:line="420" w:lineRule="auto" w:before="7"/>
        <w:ind w:left="356" w:right="35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89pt;width:1.65pt;height:1.65pt;mso-position-horizontal-relative:page;mso-position-vertical-relative:paragraph;z-index:15739904" id="docshape3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322252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39pt;width:1.65pt;height:1.65pt;mso-position-horizontal-relative:page;mso-position-vertical-relative:paragraph;z-index:15740416" id="docshape3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585785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24863pt;width:1.65pt;height:1.65pt;mso-position-horizontal-relative:page;mso-position-vertical-relative:paragraph;z-index:15740928" id="docshape39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Steering Committee, Real Property Section Fresno </w:t>
      </w:r>
      <w:r>
        <w:rPr>
          <w:color w:val="6E6158"/>
        </w:rPr>
        <w:t>County Member, Real Property Section California State Bar Member, American Planning Association</w:t>
      </w:r>
    </w:p>
    <w:p>
      <w:pPr>
        <w:pStyle w:val="BodyText"/>
        <w:spacing w:line="427" w:lineRule="auto"/>
        <w:ind w:left="356" w:right="35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63095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8161pt;width:1.65pt;height:1.65pt;mso-position-horizontal-relative:page;mso-position-vertical-relative:paragraph;z-index:15741440" id="docshape40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321461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11911pt;width:1.65pt;height:1.65pt;mso-position-horizontal-relative:page;mso-position-vertical-relative:paragraph;z-index:15741952" id="docshape41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Association of Environmental </w:t>
      </w:r>
      <w:r>
        <w:rPr>
          <w:color w:val="6E6158"/>
        </w:rPr>
        <w:t>Professionals Member, Funeral Director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53210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89829pt;width:1.65pt;height:1.65pt;mso-position-horizontal-relative:page;mso-position-vertical-relative:paragraph;z-index:15742464" id="docshape42" coordorigin="1675,84" coordsize="33,33" path="m1696,116l1687,116,1683,115,1676,108,1675,105,1675,96,1676,92,1683,85,1687,84,1696,84,1699,85,1706,92,1707,96,1707,100,1707,105,1706,108,1699,115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Interment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1"/>
        <w:ind w:left="356" w:right="19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173535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218pt;width:1.65pt;height:1.65pt;mso-position-horizontal-relative:page;mso-position-vertical-relative:paragraph;z-index:15742976" id="docshape43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431901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7965pt;width:1.65pt;height:1.65pt;mso-position-horizontal-relative:page;mso-position-vertical-relative:paragraph;z-index:15743488" id="docshape44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 Counsel, San Joaquin River Parkway and Conservation Trust, </w:t>
      </w:r>
      <w:r>
        <w:rPr>
          <w:color w:val="6E6158"/>
        </w:rPr>
        <w:t>Inc. Former General Counsel, Junior League of Fresno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63941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749pt;width:1.65pt;height:1.65pt;mso-position-horizontal-relative:page;mso-position-vertical-relative:paragraph;z-index:15744000" id="docshape4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Founder,</w:t>
      </w:r>
      <w:r>
        <w:rPr>
          <w:color w:val="6E6158"/>
          <w:spacing w:val="5"/>
        </w:rPr>
        <w:t> </w:t>
      </w:r>
      <w:r>
        <w:rPr>
          <w:color w:val="6E6158"/>
        </w:rPr>
        <w:t>Charter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74"/>
        <w:ind w:left="356" w:right="19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175103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668pt;width:1.65pt;height:1.65pt;mso-position-horizontal-relative:page;mso-position-vertical-relative:paragraph;z-index:15744512" id="docshape4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433468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1416pt;width:1.65pt;height:1.65pt;mso-position-horizontal-relative:page;mso-position-vertical-relative:paragraph;z-index:15745024" id="docshape47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Nonprofit Advancement Council’s Consultants </w:t>
      </w:r>
      <w:r>
        <w:rPr>
          <w:color w:val="6E6158"/>
        </w:rPr>
        <w:t>Circle Member, Leadership Fresno Class XI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63604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199pt;width:1.65pt;height:1.65pt;mso-position-horizontal-relative:page;mso-position-vertical-relative:paragraph;z-index:15745536" id="docshape4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Counsel,</w:t>
      </w:r>
      <w:r>
        <w:rPr>
          <w:color w:val="6E6158"/>
          <w:spacing w:val="14"/>
        </w:rPr>
        <w:t> </w:t>
      </w:r>
      <w:r>
        <w:rPr>
          <w:color w:val="6E6158"/>
        </w:rPr>
        <w:t>Fresno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Alumni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47pt;width:1.65pt;height:1.65pt;mso-position-horizontal-relative:page;mso-position-vertical-relative:paragraph;z-index:15746048" id="docshape4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cbrown@fennemorelaw.com" TargetMode="External"/><Relationship Id="rId11" Type="http://schemas.openxmlformats.org/officeDocument/2006/relationships/hyperlink" Target="https://thebusinessjournal.com/a-dog-and-his-lawyer-what-it-takes-to-represent-victor-e-bulldog-iv/" TargetMode="External"/><Relationship Id="rId12" Type="http://schemas.openxmlformats.org/officeDocument/2006/relationships/hyperlink" Target="https://thebusinessjournal.com/wp-content/uploads/2024/07/7.19.24reduced.pdf" TargetMode="External"/><Relationship Id="rId13" Type="http://schemas.openxmlformats.org/officeDocument/2006/relationships/hyperlink" Target="https://www.fennemorelaw.com/legal-leashes-and-canine-contracts-protecting-the-legal-rights-of-fresno-states-furry-icon/" TargetMode="External"/><Relationship Id="rId14" Type="http://schemas.openxmlformats.org/officeDocument/2006/relationships/hyperlink" Target="https://www.fennemorelaw.com/i-truly-like-helping-people-its-part-of-me/" TargetMode="External"/><Relationship Id="rId15" Type="http://schemas.openxmlformats.org/officeDocument/2006/relationships/hyperlink" Target="https://www.youtube.com/watch?reload=9&amp;v=kuh3mh0vHy4&amp;feature=youtu.b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2025-05-05T23:33:09Z</dcterms:created>
  <dcterms:modified xsi:type="dcterms:W3CDTF">2025-05-05T23:33:09Z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2025-05-05T00:00:00Z</vt:filetime>
  </property>
  <property fmtid="{D5CDD505-2E9C-101B-9397-08002B2CF9AE}" pid="5" name="Producer">
    <vt:lpwstr>Skia/PDF m117</vt:lpwstr>
  </property>
</Properties>
</file>