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642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6413" y="763308"/>
                            <a:ext cx="211963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CODY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BOURKE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135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383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329852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81351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3834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9670" y="2701898"/>
                            <a:ext cx="15132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cbourke@fennemorelaw.com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4.9pt;mso-position-horizontal-relative:page;mso-position-vertical-relative:page;z-index:15728640" id="docshapegroup1" coordorigin="1341,560" coordsize="9554,5298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75" type="#_x0000_t75" id="docshape3" stroked="false">
                  <v:imagedata r:id="rId7" o:title=""/>
                </v:shape>
                <v:rect style="position:absolute;left:6117;top:983;width:4777;height:4875" id="docshape4" filled="true" fillcolor="#262424" stroked="false">
                  <v:fill type="solid"/>
                </v:rect>
                <v:shape style="position:absolute;left:6850;top:2716;width:3312;height:505" id="docshape5" coordorigin="6850,2716" coordsize="3312,505" path="m10162,3213l6850,3213,6850,3221,10162,3221,10162,3213xm10162,2716l6850,2716,6850,2725,10162,2725,1016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7;top:1762;width:3338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CODY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BOURKE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303.764.3710</w:t>
                        </w:r>
                      </w:p>
                    </w:txbxContent>
                  </v:textbox>
                  <w10:wrap type="none"/>
                </v:shape>
                <v:shape style="position:absolute;left:881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229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1;top:4481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11;top:4481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24;top:4814;width:2383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cbourke@fennemorelaw.com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62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CODY</w:t>
      </w:r>
      <w:r>
        <w:rPr>
          <w:color w:val="FF8100"/>
          <w:spacing w:val="5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BOURKE</w:t>
      </w:r>
    </w:p>
    <w:p>
      <w:pPr>
        <w:pStyle w:val="BodyText"/>
        <w:spacing w:line="295" w:lineRule="auto" w:before="147"/>
        <w:ind w:left="104" w:right="251"/>
      </w:pPr>
      <w:r>
        <w:rPr>
          <w:color w:val="6E6158"/>
        </w:rPr>
        <w:t>Cody has a long track record of success representing businesses in litigation matters in the</w:t>
      </w:r>
      <w:r>
        <w:rPr>
          <w:color w:val="6E6158"/>
          <w:spacing w:val="40"/>
        </w:rPr>
        <w:t> </w:t>
      </w:r>
      <w:r>
        <w:rPr>
          <w:color w:val="6E6158"/>
        </w:rPr>
        <w:t>courtroom and through advantageous settlements, focusing on a wide range of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litigation. He represents clients from a broad range of industries including food and</w:t>
      </w:r>
      <w:r>
        <w:rPr>
          <w:color w:val="6E6158"/>
          <w:spacing w:val="40"/>
        </w:rPr>
        <w:t> </w:t>
      </w:r>
      <w:r>
        <w:rPr>
          <w:color w:val="6E6158"/>
        </w:rPr>
        <w:t>beverage, real estate, construction, and oil and gas – in both state and federal courts across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States. Cody has experience in disputes involving contracts, construction defects,</w:t>
      </w:r>
      <w:r>
        <w:rPr>
          <w:color w:val="6E6158"/>
          <w:spacing w:val="40"/>
        </w:rPr>
        <w:t> </w:t>
      </w:r>
      <w:r>
        <w:rPr>
          <w:color w:val="6E6158"/>
        </w:rPr>
        <w:t>mechanic’s liens, quiet title, commercial leases, oil and gas class actions, product liability, and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shareholder issues.</w:t>
      </w:r>
    </w:p>
    <w:p>
      <w:pPr>
        <w:pStyle w:val="BodyText"/>
        <w:spacing w:before="199"/>
        <w:ind w:left="104"/>
      </w:pPr>
      <w:r>
        <w:rPr>
          <w:color w:val="6E6158"/>
        </w:rPr>
        <w:t>Cody</w:t>
      </w:r>
      <w:r>
        <w:rPr>
          <w:color w:val="6E6158"/>
          <w:spacing w:val="14"/>
        </w:rPr>
        <w:t> </w:t>
      </w:r>
      <w:r>
        <w:rPr>
          <w:color w:val="6E6158"/>
        </w:rPr>
        <w:t>enjoys</w:t>
      </w:r>
      <w:r>
        <w:rPr>
          <w:color w:val="6E6158"/>
          <w:spacing w:val="14"/>
        </w:rPr>
        <w:t> </w:t>
      </w:r>
      <w:r>
        <w:rPr>
          <w:color w:val="6E6158"/>
        </w:rPr>
        <w:t>advising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implementing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avoidance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risk</w:t>
      </w:r>
      <w:r>
        <w:rPr>
          <w:color w:val="6E6158"/>
          <w:spacing w:val="14"/>
        </w:rPr>
        <w:t> </w:t>
      </w:r>
      <w:r>
        <w:rPr>
          <w:color w:val="6E6158"/>
        </w:rPr>
        <w:t>reduction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strategies</w:t>
      </w:r>
    </w:p>
    <w:p>
      <w:pPr>
        <w:pStyle w:val="BodyText"/>
        <w:spacing w:line="295" w:lineRule="auto" w:before="52"/>
        <w:ind w:left="104" w:right="251"/>
      </w:pPr>
      <w:r>
        <w:rPr>
          <w:color w:val="6E6158"/>
        </w:rPr>
        <w:t>to resolve issues before they need to be addressed in the courtroom. In working with clients in an</w:t>
      </w:r>
      <w:r>
        <w:rPr>
          <w:color w:val="6E6158"/>
          <w:spacing w:val="40"/>
        </w:rPr>
        <w:t> </w:t>
      </w:r>
      <w:r>
        <w:rPr>
          <w:color w:val="6E6158"/>
        </w:rPr>
        <w:t>outside general counsel role, it allows him to understand the client’s business needs and goals to</w:t>
      </w:r>
      <w:r>
        <w:rPr>
          <w:color w:val="6E6158"/>
          <w:spacing w:val="40"/>
        </w:rPr>
        <w:t> </w:t>
      </w:r>
      <w:r>
        <w:rPr>
          <w:color w:val="6E6158"/>
        </w:rPr>
        <w:t>develop a long-term relationship. He is particularly adept in negotiations with contractors and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27"/>
        </w:rPr>
        <w:t> </w:t>
      </w:r>
      <w:r>
        <w:rPr>
          <w:color w:val="6E6158"/>
        </w:rPr>
        <w:t>providers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resolve</w:t>
      </w:r>
      <w:r>
        <w:rPr>
          <w:color w:val="6E6158"/>
          <w:spacing w:val="27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favorable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client</w:t>
      </w:r>
      <w:r>
        <w:rPr>
          <w:color w:val="6E6158"/>
          <w:spacing w:val="27"/>
        </w:rPr>
        <w:t> </w:t>
      </w:r>
      <w:r>
        <w:rPr>
          <w:color w:val="6E6158"/>
        </w:rPr>
        <w:t>without</w:t>
      </w:r>
      <w:r>
        <w:rPr>
          <w:color w:val="6E6158"/>
          <w:spacing w:val="27"/>
        </w:rPr>
        <w:t> </w:t>
      </w:r>
      <w:r>
        <w:rPr>
          <w:color w:val="6E6158"/>
        </w:rPr>
        <w:t>litigation.</w:t>
      </w:r>
      <w:r>
        <w:rPr>
          <w:color w:val="6E6158"/>
          <w:spacing w:val="27"/>
        </w:rPr>
        <w:t> </w:t>
      </w:r>
      <w:r>
        <w:rPr>
          <w:color w:val="6E6158"/>
        </w:rPr>
        <w:t>Cody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the Vice Office Managing Partner of Fennemore’s Denver office.</w:t>
      </w:r>
    </w:p>
    <w:p>
      <w:pPr>
        <w:pStyle w:val="BodyText"/>
        <w:spacing w:line="292" w:lineRule="auto" w:before="203"/>
        <w:ind w:left="104" w:right="251"/>
      </w:pPr>
      <w:r>
        <w:rPr>
          <w:color w:val="6E6158"/>
        </w:rPr>
        <w:t>Cody also regularly represents clients in regulatory adversary proceedings, hearings and</w:t>
      </w:r>
      <w:r>
        <w:rPr>
          <w:color w:val="6E6158"/>
          <w:spacing w:val="40"/>
        </w:rPr>
        <w:t> </w:t>
      </w:r>
      <w:r>
        <w:rPr>
          <w:color w:val="6E6158"/>
        </w:rPr>
        <w:t>rulemakings before the Colorado Oil and Gas Conservation Commission and the </w: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Department of Public Health and Environment.</w:t>
      </w:r>
    </w:p>
    <w:p>
      <w:pPr>
        <w:pStyle w:val="BodyText"/>
        <w:spacing w:line="302" w:lineRule="auto" w:before="197"/>
        <w:ind w:left="104" w:right="309"/>
      </w:pPr>
      <w:r>
        <w:rPr>
          <w:color w:val="6E6158"/>
        </w:rPr>
        <w:t>In his spare time, Cody likes to spend time with his daughter in the mountains or at her swim</w:t>
      </w:r>
      <w:r>
        <w:rPr>
          <w:color w:val="6E6158"/>
          <w:spacing w:val="40"/>
        </w:rPr>
        <w:t> </w:t>
      </w:r>
      <w:r>
        <w:rPr>
          <w:color w:val="6E6158"/>
        </w:rPr>
        <w:t>meets.</w:t>
      </w:r>
      <w:r>
        <w:rPr>
          <w:color w:val="6E6158"/>
          <w:spacing w:val="12"/>
        </w:rPr>
        <w:t> </w:t>
      </w:r>
      <w:r>
        <w:rPr>
          <w:color w:val="6E6158"/>
        </w:rPr>
        <w:t>Cody</w:t>
      </w:r>
      <w:r>
        <w:rPr>
          <w:color w:val="6E6158"/>
          <w:spacing w:val="13"/>
        </w:rPr>
        <w:t> </w:t>
      </w:r>
      <w:r>
        <w:rPr>
          <w:color w:val="6E6158"/>
        </w:rPr>
        <w:t>seeks</w:t>
      </w:r>
      <w:r>
        <w:rPr>
          <w:color w:val="6E6158"/>
          <w:spacing w:val="13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any</w:t>
      </w:r>
      <w:r>
        <w:rPr>
          <w:color w:val="6E6158"/>
          <w:spacing w:val="13"/>
        </w:rPr>
        <w:t> </w:t>
      </w:r>
      <w:r>
        <w:rPr>
          <w:color w:val="6E6158"/>
        </w:rPr>
        <w:t>competitive</w:t>
      </w:r>
      <w:r>
        <w:rPr>
          <w:color w:val="6E6158"/>
          <w:spacing w:val="13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outdoor</w:t>
      </w:r>
      <w:r>
        <w:rPr>
          <w:color w:val="6E6158"/>
          <w:spacing w:val="13"/>
        </w:rPr>
        <w:t> </w:t>
      </w:r>
      <w:r>
        <w:rPr>
          <w:color w:val="6E6158"/>
        </w:rPr>
        <w:t>activity,</w:t>
      </w:r>
      <w:r>
        <w:rPr>
          <w:color w:val="6E6158"/>
          <w:spacing w:val="13"/>
        </w:rPr>
        <w:t> </w:t>
      </w:r>
      <w:r>
        <w:rPr>
          <w:color w:val="6E6158"/>
        </w:rPr>
        <w:t>whether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be</w:t>
      </w:r>
      <w:r>
        <w:rPr>
          <w:color w:val="6E6158"/>
          <w:spacing w:val="13"/>
        </w:rPr>
        <w:t> </w:t>
      </w:r>
      <w:r>
        <w:rPr>
          <w:color w:val="6E6158"/>
        </w:rPr>
        <w:t>participating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/>
        <w:ind w:left="104" w:right="251"/>
      </w:pPr>
      <w:r>
        <w:rPr>
          <w:color w:val="6E6158"/>
        </w:rPr>
        <w:t>basketball and sand volleyball leagues or hiking Colorado’s Fourteeners, 58 peeks above </w:t>
      </w:r>
      <w:r>
        <w:rPr>
          <w:color w:val="6E6158"/>
        </w:rPr>
        <w:t>14,000</w:t>
      </w:r>
      <w:r>
        <w:rPr>
          <w:color w:val="6E6158"/>
          <w:spacing w:val="40"/>
        </w:rPr>
        <w:t> </w:t>
      </w:r>
      <w:r>
        <w:rPr>
          <w:color w:val="6E6158"/>
        </w:rPr>
        <w:t>feet of elevation.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7"/>
        <w:ind w:left="609" w:right="4465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380330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947309pt;width:1.65pt;height:1.65pt;mso-position-horizontal-relative:page;mso-position-vertical-relative:paragraph;z-index:15729152" id="docshape14" coordorigin="1675,599" coordsize="33,33" path="m1696,631l1687,631,1683,630,1676,624,1675,620,1675,611,1676,607,1683,601,1687,599,1696,599,1699,601,1706,607,1707,611,1707,615,1707,620,1706,624,1699,630,16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338992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69231pt;width:1.65pt;height:1.65pt;mso-position-horizontal-relative:page;mso-position-vertical-relative:paragraph;z-index:15729664" id="docshape15" coordorigin="1927,534" coordsize="33,33" path="m1948,566l1939,566,1935,565,1929,558,1927,555,1927,546,1929,542,1935,535,1939,534,1948,534,1952,535,1958,542,1960,546,1960,550,1960,555,1958,558,1952,565,1948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Denver, Sturm College of </w:t>
      </w:r>
      <w:r>
        <w:rPr>
          <w:color w:val="6E6158"/>
        </w:rPr>
        <w:t>Law</w:t>
      </w:r>
      <w:r>
        <w:rPr>
          <w:color w:val="6E6158"/>
        </w:rPr>
        <w:t> Order of St. Ives (Top 10%)</w:t>
      </w:r>
    </w:p>
    <w:p>
      <w:pPr>
        <w:pStyle w:val="BodyText"/>
        <w:spacing w:before="113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136406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0.740708pt;width:1.65pt;height:1.65pt;mso-position-horizontal-relative:page;mso-position-vertical-relative:paragraph;z-index:15730176" id="docshape16" coordorigin="1927,215" coordsize="33,33" path="m1948,247l1939,247,1935,246,1929,239,1927,236,1927,227,1929,223,1935,216,1939,215,1948,215,1952,216,1958,223,1960,227,1960,231,1960,236,1958,239,1952,246,1948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Scholastic</w:t>
      </w:r>
      <w:r>
        <w:rPr>
          <w:color w:val="6E6158"/>
          <w:spacing w:val="10"/>
        </w:rPr>
        <w:t> </w:t>
      </w:r>
      <w:r>
        <w:rPr>
          <w:color w:val="6E6158"/>
        </w:rPr>
        <w:t>Excellence</w:t>
      </w:r>
      <w:r>
        <w:rPr>
          <w:color w:val="6E6158"/>
          <w:spacing w:val="10"/>
        </w:rPr>
        <w:t> </w:t>
      </w:r>
      <w:r>
        <w:rPr>
          <w:color w:val="6E6158"/>
        </w:rPr>
        <w:t>Awards:</w:t>
      </w:r>
      <w:r>
        <w:rPr>
          <w:color w:val="6E6158"/>
          <w:spacing w:val="11"/>
        </w:rPr>
        <w:t> </w:t>
      </w:r>
      <w:r>
        <w:rPr>
          <w:color w:val="6E6158"/>
        </w:rPr>
        <w:t>Torts,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746pt;width:1.65pt;height:1.65pt;mso-position-horizontal-relative:page;mso-position-vertical-relative:paragraph;z-index:15730688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Nebraska-Lincoln,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2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712" id="docshape1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2224" id="docshape20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Natural </w:t>
      </w:r>
      <w:r>
        <w:rPr>
          <w:color w:val="6E6158"/>
        </w:rPr>
        <w:t>Resources Food &amp; Beverage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338605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61848pt;width:1.65pt;height:1.65pt;mso-position-horizontal-relative:page;mso-position-vertical-relative:paragraph;z-index:15732736" id="docshape21" coordorigin="1675,533" coordsize="33,33" path="m1696,566l1687,566,1683,564,1676,558,1675,554,1675,545,1676,541,1683,535,1687,533,1696,533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successfully defended global dairy company in high value premises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dispute by prevailing on summary judgment under theory that company was a statutory-</w:t>
      </w:r>
      <w:r>
        <w:rPr>
          <w:color w:val="6E6158"/>
          <w:spacing w:val="40"/>
        </w:rPr>
        <w:t> </w:t>
      </w:r>
      <w:r>
        <w:rPr>
          <w:color w:val="6E6158"/>
        </w:rPr>
        <w:t>employer immune from tort liability</w:t>
      </w:r>
    </w:p>
    <w:p>
      <w:pPr>
        <w:pStyle w:val="BodyText"/>
        <w:spacing w:line="292" w:lineRule="auto" w:before="118"/>
        <w:ind w:right="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320221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4258pt;width:1.65pt;height:1.65pt;mso-position-horizontal-relative:page;mso-position-vertical-relative:paragraph;z-index:15733248" id="docshape22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and prevailed before the Colorado Court of Appeals that oil and gas lease automatically expired a decade prior and was not properly released by lessee and obtained an award of client’s fees and costs under lease forfeiture statute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782pt;width:1.65pt;height:1.65pt;mso-position-horizontal-relative:page;mso-position-vertical-relative:paragraph;z-index:15733760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Substantially prevailed for client in arbitration involving a dispute with post-closing </w:t>
      </w:r>
      <w:r>
        <w:rPr>
          <w:color w:val="6E6158"/>
        </w:rPr>
        <w:t>adjustments</w:t>
      </w:r>
      <w:r>
        <w:rPr>
          <w:color w:val="6E6158"/>
          <w:spacing w:val="40"/>
        </w:rPr>
        <w:t> </w:t>
      </w:r>
      <w:r>
        <w:rPr>
          <w:color w:val="6E6158"/>
        </w:rPr>
        <w:t>made following title due diligence period</w:t>
      </w:r>
    </w:p>
    <w:p>
      <w:pPr>
        <w:pStyle w:val="BodyText"/>
        <w:spacing w:line="297" w:lineRule="auto" w:before="123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323589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506pt;width:1.65pt;height:1.65pt;mso-position-horizontal-relative:page;mso-position-vertical-relative:paragraph;z-index:15734272" id="docshape2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operator and franchiser of national restaurants and breweries group in commercial lease disputes, construction disputes, and pre-litigation risk reduction </w:t>
      </w:r>
      <w:r>
        <w:rPr>
          <w:color w:val="6E6158"/>
        </w:rPr>
        <w:t>strategies</w:t>
      </w:r>
      <w:r>
        <w:rPr>
          <w:color w:val="6E6158"/>
          <w:spacing w:val="40"/>
        </w:rPr>
        <w:t> </w:t>
      </w:r>
      <w:r>
        <w:rPr>
          <w:color w:val="6E6158"/>
        </w:rPr>
        <w:t>across the United States</w:t>
      </w:r>
    </w:p>
    <w:p>
      <w:pPr>
        <w:pStyle w:val="BodyText"/>
        <w:spacing w:line="292" w:lineRule="auto" w:before="118"/>
        <w:ind w:right="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227433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8163pt;width:1.65pt;height:1.65pt;mso-position-horizontal-relative:page;mso-position-vertical-relative:paragraph;z-index:15734784" id="docshape25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and advise private investment company specializing in oil and gas acquisitions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broad range of quiet title and ownership disputes</w:t>
      </w:r>
    </w:p>
    <w:p>
      <w:pPr>
        <w:pStyle w:val="BodyText"/>
        <w:spacing w:line="302" w:lineRule="auto" w:before="123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235953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014pt;width:1.65pt;height:1.65pt;mso-position-horizontal-relative:page;mso-position-vertical-relative:paragraph;z-index:15735296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oil and gas companies in numerous statewide class action royalty disputes </w:t>
      </w:r>
      <w:r>
        <w:rPr>
          <w:color w:val="6E6158"/>
        </w:rPr>
        <w:t>in Colorado and Oklahoma</w:t>
      </w:r>
    </w:p>
    <w:p>
      <w:pPr>
        <w:pStyle w:val="BodyText"/>
        <w:spacing w:line="297" w:lineRule="auto" w:before="113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317308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4911pt;width:1.65pt;height:1.65pt;mso-position-horizontal-relative:page;mso-position-vertical-relative:paragraph;z-index:15735808" id="docshape27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trade association for the home building industry and various oil and gas</w:t>
      </w:r>
      <w:r>
        <w:rPr>
          <w:color w:val="6E6158"/>
          <w:spacing w:val="80"/>
        </w:rPr>
        <w:t> </w:t>
      </w:r>
      <w:r>
        <w:rPr>
          <w:color w:val="6E6158"/>
        </w:rPr>
        <w:t>companies in rulemakings before the Colorado Oil and Gas Conservation Commission </w:t>
      </w:r>
      <w:r>
        <w:rPr>
          <w:color w:val="6E6158"/>
        </w:rPr>
        <w:t>related</w:t>
      </w:r>
      <w:r>
        <w:rPr>
          <w:color w:val="6E6158"/>
          <w:spacing w:val="80"/>
        </w:rPr>
        <w:t> </w:t>
      </w:r>
      <w:r>
        <w:rPr>
          <w:color w:val="6E6158"/>
        </w:rPr>
        <w:t>to forced pooling, flowlines and the enactment of Senate Bill 19-181</w:t>
      </w:r>
    </w:p>
    <w:p>
      <w:pPr>
        <w:pStyle w:val="BodyText"/>
        <w:spacing w:line="292" w:lineRule="auto" w:before="118"/>
        <w:ind w:right="10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227502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574pt;width:1.65pt;height:1.65pt;mso-position-horizontal-relative:page;mso-position-vertical-relative:paragraph;z-index:15736320" id="docshape28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counsel in representation of real estate developer in lawsuits </w:t>
      </w:r>
      <w:r>
        <w:rPr>
          <w:color w:val="6E6158"/>
        </w:rPr>
        <w:t>involving multimillion-dollar construction defects and delays in Colorado and Texas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236022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429pt;width:1.65pt;height:1.65pt;mso-position-horizontal-relative:page;mso-position-vertical-relative:paragraph;z-index:15736832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real estate developer against mechanic’s lien foreclosure and breach of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claims brought by general contractors and subcontractors</w:t>
      </w:r>
    </w:p>
    <w:p>
      <w:pPr>
        <w:pStyle w:val="BodyText"/>
        <w:spacing w:line="292" w:lineRule="auto" w:before="113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317377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0337pt;width:1.65pt;height:1.65pt;mso-position-horizontal-relative:page;mso-position-vertical-relative:paragraph;z-index:15737344" id="docshape30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limited liability company and members asserting individual and derivative </w:t>
      </w:r>
      <w:r>
        <w:rPr>
          <w:color w:val="6E6158"/>
        </w:rPr>
        <w:t>claims</w:t>
      </w:r>
      <w:r>
        <w:rPr>
          <w:color w:val="6E6158"/>
          <w:spacing w:val="80"/>
        </w:rPr>
        <w:t> </w:t>
      </w:r>
      <w:r>
        <w:rPr>
          <w:color w:val="6E6158"/>
        </w:rPr>
        <w:t>in an action against other members for breach of contract, breach of fiduciary duty,</w:t>
      </w:r>
      <w:r>
        <w:rPr>
          <w:color w:val="6E6158"/>
          <w:spacing w:val="80"/>
        </w:rPr>
        <w:t> </w:t>
      </w:r>
      <w:r>
        <w:rPr>
          <w:color w:val="6E6158"/>
        </w:rPr>
        <w:t>conversion and civil conspiracy</w:t>
      </w:r>
    </w:p>
    <w:p>
      <w:pPr>
        <w:pStyle w:val="BodyText"/>
        <w:spacing w:line="292" w:lineRule="auto" w:before="132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329458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41607pt;width:1.65pt;height:1.65pt;mso-position-horizontal-relative:page;mso-position-vertical-relative:paragraph;z-index:15737856" id="docshape31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oil and gas companies against claims by surface owners, including claims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alleged ground water contamination and conflicts with current and planned surface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operations</w:t>
      </w:r>
    </w:p>
    <w:p>
      <w:pPr>
        <w:pStyle w:val="BodyText"/>
        <w:spacing w:line="302" w:lineRule="auto" w:before="124"/>
        <w:ind w:right="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236462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9133pt;width:1.65pt;height:1.65pt;mso-position-horizontal-relative:page;mso-position-vertical-relative:paragraph;z-index:15738368" id="docshape32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midstream oil and gas company in arbitration in connection with claims for breach</w:t>
      </w:r>
      <w:r>
        <w:rPr>
          <w:color w:val="6E6158"/>
          <w:spacing w:val="80"/>
        </w:rPr>
        <w:t> </w:t>
      </w:r>
      <w:r>
        <w:rPr>
          <w:color w:val="6E6158"/>
        </w:rPr>
        <w:t>of natural gas purchase contract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136326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4403pt;width:1.65pt;height:1.65pt;mso-position-horizontal-relative:page;mso-position-vertical-relative:paragraph;z-index:15738880" id="docshape33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13"/>
        </w:rPr>
        <w:t> </w:t>
      </w:r>
      <w:r>
        <w:rPr>
          <w:color w:val="6E6158"/>
        </w:rPr>
        <w:t>manufacturer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ladders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product</w:t>
      </w:r>
      <w:r>
        <w:rPr>
          <w:color w:val="6E6158"/>
          <w:spacing w:val="14"/>
        </w:rPr>
        <w:t> </w:t>
      </w:r>
      <w:r>
        <w:rPr>
          <w:color w:val="6E6158"/>
        </w:rPr>
        <w:t>liability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lawsuits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6"/>
        <w:ind w:left="356" w:right="25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250662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7169pt;width:1.65pt;height:1.65pt;mso-position-horizontal-relative:page;mso-position-vertical-relative:paragraph;z-index:15739392" id="docshape34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 Best Lawyers in America</w:t>
      </w:r>
      <w:r>
        <w:rPr>
          <w:color w:val="6E6158"/>
          <w:sz w:val="19"/>
        </w:rPr>
        <w:t>®, Ones to Watch, Commercial Litigation, Real Estate Litigation, Oil and Gas Law, 2021-2025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134001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1311pt;width:1.65pt;height:1.65pt;mso-position-horizontal-relative:page;mso-position-vertical-relative:paragraph;z-index:15739904" id="docshape35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pgSz w:w="12240" w:h="15840"/>
          <w:pgMar w:top="58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Edition,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250945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9449pt;width:1.65pt;height:1.65pt;mso-position-horizontal-relative:page;mso-position-vertical-relative:paragraph;z-index:15741952" id="docshape37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Criminal and Enforcement Litigation,” Co-Author, ABA 2018 Edition: Recent Developments </w:t>
      </w:r>
      <w:r>
        <w:rPr>
          <w:color w:val="6E6158"/>
        </w:rPr>
        <w:t>in Business &amp; Corporate Litigation (April 2018)</w:t>
      </w:r>
    </w:p>
    <w:p>
      <w:pPr>
        <w:pStyle w:val="BodyText"/>
        <w:spacing w:line="292" w:lineRule="auto" w:before="113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224048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605pt;width:1.65pt;height:1.65pt;mso-position-horizontal-relative:page;mso-position-vertical-relative:paragraph;z-index:15742464" id="docshape38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2">
        <w:r>
          <w:rPr>
            <w:color w:val="F5821F"/>
          </w:rPr>
          <w:t>Colorado Supreme Court Holds Privity Necessary for Homeowner to Sue Developer</w:t>
        </w:r>
      </w:hyperlink>
      <w:r>
        <w:rPr>
          <w:color w:val="6E6158"/>
        </w:rPr>
        <w:t>,” </w:t>
      </w:r>
      <w:r>
        <w:rPr>
          <w:color w:val="6E6158"/>
        </w:rPr>
        <w:t>Co- Author, Snell &amp; Wilmer Under Construction Newsletter (June 2017)</w:t>
      </w:r>
    </w:p>
    <w:p>
      <w:pPr>
        <w:pStyle w:val="BodyText"/>
        <w:spacing w:line="297" w:lineRule="auto" w:before="123"/>
        <w:ind w:right="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323587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328pt;width:1.65pt;height:1.65pt;mso-position-horizontal-relative:page;mso-position-vertical-relative:paragraph;z-index:15742976" id="docshape39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3">
        <w:r>
          <w:rPr>
            <w:color w:val="F5821F"/>
          </w:rPr>
          <w:t>The Foreign Corrupt Practices Act’s One-Year “Pilot Program” Nears the Halfway Mark</w:t>
        </w:r>
      </w:hyperlink>
      <w:r>
        <w:rPr>
          <w:color w:val="6E6158"/>
        </w:rPr>
        <w:t>,” Co- Author, Snell &amp; Wilmer White Collar Defense, Investigations and Compliance Blog </w:t>
      </w:r>
      <w:r>
        <w:rPr>
          <w:color w:val="6E6158"/>
        </w:rPr>
        <w:t>(September</w:t>
      </w:r>
      <w:r>
        <w:rPr>
          <w:color w:val="6E6158"/>
          <w:spacing w:val="80"/>
        </w:rPr>
        <w:t> </w:t>
      </w:r>
      <w:r>
        <w:rPr>
          <w:color w:val="6E6158"/>
        </w:rPr>
        <w:t>9, 2016)</w:t>
      </w:r>
    </w:p>
    <w:p>
      <w:pPr>
        <w:pStyle w:val="BodyText"/>
        <w:spacing w:line="297" w:lineRule="auto" w:before="118"/>
        <w:ind w:right="2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320443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1739pt;width:1.65pt;height:1.65pt;mso-position-horizontal-relative:page;mso-position-vertical-relative:paragraph;z-index:15743488" id="docshape40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r>
        <w:rPr>
          <w:color w:val="F5821F"/>
        </w:rPr>
        <w:t>EPA Looks to Follow Colorado’s Lead on Regulating Methane Emissions in the Oil and Gas Industry</w:t>
      </w:r>
      <w:r>
        <w:rPr>
          <w:color w:val="6E6158"/>
        </w:rPr>
        <w:t>,” Author, Snell &amp; Wilmer Environmental, Natural Resources, Oil and Gas Law Blog (October 15, 2015)</w:t>
      </w:r>
    </w:p>
    <w:p>
      <w:pPr>
        <w:pStyle w:val="Heading1"/>
        <w:spacing w:before="2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853" w:right="609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245824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6258pt;width:1.65pt;height:1.65pt;mso-position-horizontal-relative:page;mso-position-vertical-relative:paragraph;z-index:15744000" id="docshape41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1378727</wp:posOffset>
                </wp:positionH>
                <wp:positionV relativeFrom="paragraph">
                  <wp:posOffset>338836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80008pt;width:1.65pt;height:1.65pt;mso-position-horizontal-relative:page;mso-position-vertical-relative:paragraph;z-index:15744512" id="docshape42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Young Lawyers </w:t>
      </w:r>
      <w:r>
        <w:rPr>
          <w:color w:val="6E6158"/>
        </w:rPr>
        <w:t>Division</w:t>
      </w:r>
    </w:p>
    <w:p>
      <w:pPr>
        <w:pStyle w:val="BodyText"/>
        <w:spacing w:before="131" w:after="8"/>
      </w:pP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3" coordorigin="0,0" coordsize="33,33">
                <v:shape style="position:absolute;left:0;top:0;width:33;height:33" id="docshape4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line="420" w:lineRule="auto" w:before="13"/>
        <w:ind w:right="4465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51pt;width:1.65pt;height:1.65pt;mso-position-horizontal-relative:page;mso-position-vertical-relative:paragraph;z-index:15745024" id="docshape45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99pt;width:1.65pt;height:1.65pt;mso-position-horizontal-relative:page;mso-position-vertical-relative:paragraph;z-index:15745536" id="docshape46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and Energy Law </w:t>
      </w:r>
      <w:r>
        <w:rPr>
          <w:color w:val="6E6158"/>
        </w:rPr>
        <w:t>Section Rhone-Brackett Inn of Court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63427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281pt;width:1.65pt;height:1.65pt;mso-position-horizontal-relative:page;mso-position-vertical-relative:paragraph;z-index:15746048" id="docshape47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8"/>
        </w:rPr>
        <w:t> </w:t>
      </w:r>
      <w:r>
        <w:rPr>
          <w:color w:val="6E6158"/>
        </w:rPr>
        <w:t>Petroleum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92pt;width:1.65pt;height:1.65pt;mso-position-horizontal-relative:page;mso-position-vertical-relative:paragraph;z-index:15746560" id="docshape4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Home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Builders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64603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6883pt;width:1.65pt;height:1.65pt;mso-position-horizontal-relative:page;mso-position-vertical-relative:paragraph;z-index:15747072" id="docshape49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Metro</w:t>
      </w:r>
      <w:r>
        <w:rPr>
          <w:color w:val="6E6158"/>
          <w:spacing w:val="8"/>
        </w:rPr>
        <w:t> </w:t>
      </w:r>
      <w:r>
        <w:rPr>
          <w:color w:val="6E6158"/>
        </w:rPr>
        <w:t>Volunteer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(Present)</w:t>
      </w:r>
    </w:p>
    <w:p>
      <w:pPr>
        <w:pStyle w:val="BodyText"/>
        <w:spacing w:line="302" w:lineRule="auto" w:before="174"/>
        <w:ind w:left="853" w:right="2999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268054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665pt;width:1.65pt;height:1.65pt;mso-position-horizontal-relative:page;mso-position-vertical-relative:paragraph;z-index:15747584" id="docshape5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1378727</wp:posOffset>
                </wp:positionH>
                <wp:positionV relativeFrom="paragraph">
                  <wp:posOffset>355899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3561pt;width:1.65pt;height:1.65pt;mso-position-horizontal-relative:page;mso-position-vertical-relative:paragraph;z-index:15748096" id="docshape51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 Mountain Immigrant Advocacy Network </w:t>
      </w:r>
      <w:r>
        <w:rPr>
          <w:color w:val="6E6158"/>
        </w:rPr>
        <w:t>(RMIAN) Volunteer Attorney (2016-present)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131001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087pt;width:1.65pt;height:1.65pt;mso-position-horizontal-relative:page;mso-position-vertical-relative:paragraph;z-index:15748608" id="docshape5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Denver</w:t>
      </w:r>
      <w:r>
        <w:rPr>
          <w:color w:val="6E6158"/>
          <w:spacing w:val="15"/>
        </w:rPr>
        <w:t> </w:t>
      </w:r>
      <w:r>
        <w:rPr>
          <w:color w:val="6E6158"/>
        </w:rPr>
        <w:t>Sturm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Professional</w:t>
      </w:r>
      <w:r>
        <w:rPr>
          <w:color w:val="6E6158"/>
          <w:spacing w:val="15"/>
        </w:rPr>
        <w:t> </w:t>
      </w:r>
      <w:r>
        <w:rPr>
          <w:color w:val="6E6158"/>
        </w:rPr>
        <w:t>Mentoring</w:t>
      </w:r>
      <w:r>
        <w:rPr>
          <w:color w:val="6E6158"/>
          <w:spacing w:val="15"/>
        </w:rPr>
        <w:t> </w:t>
      </w:r>
      <w:r>
        <w:rPr>
          <w:color w:val="6E6158"/>
        </w:rPr>
        <w:t>Program</w:t>
      </w:r>
      <w:r>
        <w:rPr>
          <w:color w:val="6E6158"/>
          <w:spacing w:val="15"/>
        </w:rPr>
        <w:t> </w:t>
      </w:r>
      <w:r>
        <w:rPr>
          <w:color w:val="6E6158"/>
        </w:rPr>
        <w:t>(2016-</w:t>
      </w:r>
      <w:r>
        <w:rPr>
          <w:color w:val="6E6158"/>
          <w:spacing w:val="-2"/>
        </w:rPr>
        <w:t>present)</w:t>
      </w:r>
    </w:p>
    <w:p>
      <w:pPr>
        <w:pStyle w:val="BodyText"/>
        <w:spacing w:before="173" w:after="8"/>
      </w:pPr>
      <w:r>
        <w:rPr>
          <w:color w:val="6E6158"/>
        </w:rPr>
        <w:t>Impact</w:t>
      </w:r>
      <w:r>
        <w:rPr>
          <w:color w:val="6E6158"/>
          <w:spacing w:val="16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3" coordorigin="0,0" coordsize="33,33">
                <v:shape style="position:absolute;left:0;top:0;width:33;height:33" id="docshape5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68pt;width:1.65pt;height:1.65pt;mso-position-horizontal-relative:page;mso-position-vertical-relative:paragraph;z-index:15749120" id="docshape55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3"/>
        </w:rPr>
        <w:t> </w:t>
      </w:r>
      <w:r>
        <w:rPr>
          <w:color w:val="6E6158"/>
        </w:rPr>
        <w:t>Metro</w:t>
      </w:r>
      <w:r>
        <w:rPr>
          <w:color w:val="6E6158"/>
          <w:spacing w:val="14"/>
        </w:rPr>
        <w:t> </w:t>
      </w:r>
      <w:r>
        <w:rPr>
          <w:color w:val="6E6158"/>
        </w:rPr>
        <w:t>Chamber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(2019)</w:t>
      </w:r>
    </w:p>
    <w:p>
      <w:pPr>
        <w:pStyle w:val="BodyText"/>
        <w:spacing w:line="292" w:lineRule="auto" w:before="182"/>
        <w:ind w:left="853" w:right="5515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49632" id="docshape56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1378727</wp:posOffset>
                </wp:positionH>
                <wp:positionV relativeFrom="paragraph">
                  <wp:posOffset>355732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10422pt;width:1.65pt;height:1.65pt;mso-position-horizontal-relative:page;mso-position-vertical-relative:paragraph;z-index:15750144" id="docshape57" coordorigin="2171,560" coordsize="33,33" path="m2192,593l2183,593,2179,591,2173,585,2171,581,2171,572,2173,568,2179,562,2183,560,2192,560,2196,562,2202,568,2204,572,2204,576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Poverty Law Clinic Volunteer Attorney (2016-</w:t>
      </w:r>
      <w:r>
        <w:rPr>
          <w:color w:val="6E6158"/>
        </w:rPr>
        <w:t>2018)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512pt;width:1.65pt;height:1.65pt;mso-position-horizontal-relative:page;mso-position-vertical-relative:paragraph;z-index:15750656" id="docshape58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175038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55pt;width:1.65pt;height:1.65pt;mso-position-horizontal-relative:page;mso-position-vertical-relative:paragraph;z-index:15751168" id="docshape5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588pt;width:1.65pt;height:1.65pt;mso-position-horizontal-relative:page;mso-position-vertical-relative:paragraph;z-index:15751680" id="docshape6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cbourke@fennemorelaw.com" TargetMode="External"/><Relationship Id="rId12" Type="http://schemas.openxmlformats.org/officeDocument/2006/relationships/hyperlink" Target="https://information.swlaw.com/REACTION/2017/Newsletters/UnderConstruction/0602_UC_WEB.html" TargetMode="External"/><Relationship Id="rId13" Type="http://schemas.openxmlformats.org/officeDocument/2006/relationships/hyperlink" Target="http://www.swlaw.com/blog/white-collar-defense/2016/09/09/the-foreign-corrupt-practices-acts-one-year-pilot-program-nears-the-halfway-mar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2025-05-13T15:27:12Z</dcterms:created>
  <dcterms:modified xsi:type="dcterms:W3CDTF">2025-05-13T15:27:12Z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